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71F4" w14:textId="77777777" w:rsidR="009E3E52" w:rsidRDefault="00B632FD">
      <w:bookmarkStart w:id="0" w:name="_GoBack"/>
      <w:bookmarkEnd w:id="0"/>
      <w:r>
        <w:rPr>
          <w:noProof/>
          <w:lang w:val="en-US"/>
        </w:rPr>
        <w:drawing>
          <wp:anchor distT="0" distB="0" distL="114300" distR="114300" simplePos="0" relativeHeight="251672576" behindDoc="1" locked="1" layoutInCell="1" allowOverlap="1" wp14:anchorId="2544A17F" wp14:editId="2544A180">
            <wp:simplePos x="0" y="0"/>
            <wp:positionH relativeFrom="column">
              <wp:posOffset>23495</wp:posOffset>
            </wp:positionH>
            <wp:positionV relativeFrom="page">
              <wp:posOffset>635</wp:posOffset>
            </wp:positionV>
            <wp:extent cx="7505700" cy="1567815"/>
            <wp:effectExtent l="0" t="0" r="1270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03 copy.jpg"/>
                    <pic:cNvPicPr/>
                  </pic:nvPicPr>
                  <pic:blipFill>
                    <a:blip r:embed="rId11">
                      <a:extLst>
                        <a:ext uri="{28A0092B-C50C-407E-A947-70E740481C1C}">
                          <a14:useLocalDpi xmlns:a14="http://schemas.microsoft.com/office/drawing/2010/main" val="0"/>
                        </a:ext>
                      </a:extLst>
                    </a:blip>
                    <a:stretch>
                      <a:fillRect/>
                    </a:stretch>
                  </pic:blipFill>
                  <pic:spPr>
                    <a:xfrm>
                      <a:off x="0" y="0"/>
                      <a:ext cx="7505700" cy="1567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AD47695" w14:textId="77777777" w:rsidR="009E3E52" w:rsidRPr="009E3E52" w:rsidRDefault="009E3E52" w:rsidP="009E3E52"/>
    <w:p w14:paraId="63D5FCE8" w14:textId="77777777" w:rsidR="009E3E52" w:rsidRPr="009E3E52" w:rsidRDefault="009E3E52" w:rsidP="009E3E52"/>
    <w:p w14:paraId="235434C3" w14:textId="77777777" w:rsidR="009E3E52" w:rsidRPr="009E3E52" w:rsidRDefault="009E3E52" w:rsidP="009E3E52"/>
    <w:p w14:paraId="7078E691" w14:textId="77777777" w:rsidR="009E3E52" w:rsidRPr="009E3E52" w:rsidRDefault="009E3E52" w:rsidP="009E3E52"/>
    <w:p w14:paraId="69323EB0" w14:textId="77777777" w:rsidR="009E3E52" w:rsidRPr="009E3E52" w:rsidRDefault="009E3E52" w:rsidP="009E3E52"/>
    <w:p w14:paraId="479BC313" w14:textId="77777777" w:rsidR="009E3E52" w:rsidRPr="009E3E52" w:rsidRDefault="009E3E52" w:rsidP="009E3E52"/>
    <w:p w14:paraId="3D978146" w14:textId="77777777" w:rsidR="009E3E52" w:rsidRPr="009E3E52" w:rsidRDefault="009E3E52" w:rsidP="009E3E52"/>
    <w:p w14:paraId="78473E4E" w14:textId="77777777" w:rsidR="009E3E52" w:rsidRPr="009E3E52" w:rsidRDefault="009E3E52" w:rsidP="009E3E52"/>
    <w:p w14:paraId="602E3B68" w14:textId="77777777" w:rsidR="009E3E52" w:rsidRPr="009E3E52" w:rsidRDefault="00B632FD" w:rsidP="009E3E52">
      <w:r>
        <w:rPr>
          <w:noProof/>
          <w:lang w:val="en-US"/>
        </w:rPr>
        <mc:AlternateContent>
          <mc:Choice Requires="wps">
            <w:drawing>
              <wp:anchor distT="0" distB="0" distL="114300" distR="114300" simplePos="0" relativeHeight="251659264" behindDoc="0" locked="0" layoutInCell="1" allowOverlap="1" wp14:anchorId="2544A181" wp14:editId="3DFB1A3A">
                <wp:simplePos x="0" y="0"/>
                <wp:positionH relativeFrom="column">
                  <wp:posOffset>800100</wp:posOffset>
                </wp:positionH>
                <wp:positionV relativeFrom="paragraph">
                  <wp:posOffset>126365</wp:posOffset>
                </wp:positionV>
                <wp:extent cx="5829300"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D7C795" w14:textId="77777777" w:rsidR="007D6682" w:rsidRPr="00995FAE" w:rsidRDefault="009A3E2A" w:rsidP="007D6682">
                            <w:pPr>
                              <w:pStyle w:val="Heading4"/>
                              <w:spacing w:line="520" w:lineRule="exact"/>
                              <w:rPr>
                                <w:rFonts w:cs="Arial"/>
                                <w:sz w:val="52"/>
                                <w:szCs w:val="52"/>
                              </w:rPr>
                            </w:pPr>
                            <w:r>
                              <w:rPr>
                                <w:rFonts w:cs="Arial"/>
                                <w:bCs w:val="0"/>
                                <w:sz w:val="52"/>
                                <w:szCs w:val="52"/>
                                <w:lang w:val="en-US"/>
                              </w:rPr>
                              <w:t xml:space="preserve">LGA Workforce Equality </w:t>
                            </w:r>
                            <w:r w:rsidR="0079440E">
                              <w:rPr>
                                <w:rFonts w:cs="Arial"/>
                                <w:bCs w:val="0"/>
                                <w:sz w:val="52"/>
                                <w:szCs w:val="52"/>
                                <w:lang w:val="en-US"/>
                              </w:rPr>
                              <w:t>work</w:t>
                            </w:r>
                            <w:r>
                              <w:rPr>
                                <w:rFonts w:cs="Arial"/>
                                <w:bCs w:val="0"/>
                                <w:sz w:val="52"/>
                                <w:szCs w:val="52"/>
                                <w:lang w:val="en-US"/>
                              </w:rPr>
                              <w:t xml:space="preserve"> plan following COVID-19</w:t>
                            </w:r>
                            <w:r w:rsidR="0079440E">
                              <w:rPr>
                                <w:rFonts w:cs="Arial"/>
                                <w:bCs w:val="0"/>
                                <w:sz w:val="52"/>
                                <w:szCs w:val="52"/>
                                <w:lang w:val="en-US"/>
                              </w:rPr>
                              <w:t>, Autumn 2020</w:t>
                            </w:r>
                          </w:p>
                          <w:p w14:paraId="31108302" w14:textId="77777777" w:rsidR="007D6682" w:rsidRPr="005F35B6" w:rsidRDefault="007D6682" w:rsidP="005F35B6">
                            <w:pPr>
                              <w:spacing w:line="360" w:lineRule="auto"/>
                              <w:rPr>
                                <w:rFonts w:ascii="Arial" w:hAnsi="Arial"/>
                                <w:sz w:val="24"/>
                              </w:rPr>
                            </w:pPr>
                          </w:p>
                          <w:p w14:paraId="617EC26F" w14:textId="77777777" w:rsidR="007D6682" w:rsidRPr="007A3157" w:rsidRDefault="007D6682">
                            <w:pPr>
                              <w:rPr>
                                <w:rFonts w:ascii="Arial" w:hAnsi="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4A181" id="_x0000_t202" coordsize="21600,21600" o:spt="202" path="m,l,21600r21600,l21600,xe">
                <v:stroke joinstyle="miter"/>
                <v:path gradientshapeok="t" o:connecttype="rect"/>
              </v:shapetype>
              <v:shape id="Text Box 2" o:spid="_x0000_s1026" type="#_x0000_t202" style="position:absolute;margin-left:63pt;margin-top:9.95pt;width:459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" filled="f" stroked="f">
                <v:textbox>
                  <w:txbxContent>
                    <w:p w14:paraId="40D7C795" w14:textId="77777777" w:rsidR="007D6682" w:rsidRPr="00995FAE" w:rsidRDefault="009A3E2A" w:rsidP="007D6682">
                      <w:pPr>
                        <w:pStyle w:val="Heading4"/>
                        <w:spacing w:line="520" w:lineRule="exact"/>
                        <w:rPr>
                          <w:rFonts w:cs="Arial"/>
                          <w:sz w:val="52"/>
                          <w:szCs w:val="52"/>
                        </w:rPr>
                      </w:pPr>
                      <w:r>
                        <w:rPr>
                          <w:rFonts w:cs="Arial"/>
                          <w:bCs w:val="0"/>
                          <w:sz w:val="52"/>
                          <w:szCs w:val="52"/>
                          <w:lang w:val="en-US"/>
                        </w:rPr>
                        <w:t xml:space="preserve">LGA Workforce Equality </w:t>
                      </w:r>
                      <w:r w:rsidR="0079440E">
                        <w:rPr>
                          <w:rFonts w:cs="Arial"/>
                          <w:bCs w:val="0"/>
                          <w:sz w:val="52"/>
                          <w:szCs w:val="52"/>
                          <w:lang w:val="en-US"/>
                        </w:rPr>
                        <w:t>work</w:t>
                      </w:r>
                      <w:r>
                        <w:rPr>
                          <w:rFonts w:cs="Arial"/>
                          <w:bCs w:val="0"/>
                          <w:sz w:val="52"/>
                          <w:szCs w:val="52"/>
                          <w:lang w:val="en-US"/>
                        </w:rPr>
                        <w:t xml:space="preserve"> plan following COVID-19</w:t>
                      </w:r>
                      <w:r w:rsidR="0079440E">
                        <w:rPr>
                          <w:rFonts w:cs="Arial"/>
                          <w:bCs w:val="0"/>
                          <w:sz w:val="52"/>
                          <w:szCs w:val="52"/>
                          <w:lang w:val="en-US"/>
                        </w:rPr>
                        <w:t>, Autumn 2020</w:t>
                      </w:r>
                    </w:p>
                    <w:p w14:paraId="31108302" w14:textId="77777777" w:rsidR="007D6682" w:rsidRPr="005F35B6" w:rsidRDefault="007D6682" w:rsidP="005F35B6">
                      <w:pPr>
                        <w:spacing w:line="360" w:lineRule="auto"/>
                        <w:rPr>
                          <w:rFonts w:ascii="Arial" w:hAnsi="Arial"/>
                          <w:sz w:val="24"/>
                        </w:rPr>
                      </w:pPr>
                    </w:p>
                    <w:p w14:paraId="617EC26F" w14:textId="77777777" w:rsidR="007D6682" w:rsidRPr="007A3157" w:rsidRDefault="007D6682">
                      <w:pPr>
                        <w:rPr>
                          <w:rFonts w:ascii="Arial" w:hAnsi="Arial"/>
                          <w:sz w:val="32"/>
                          <w:szCs w:val="32"/>
                        </w:rPr>
                      </w:pPr>
                    </w:p>
                  </w:txbxContent>
                </v:textbox>
                <w10:wrap type="square"/>
              </v:shape>
            </w:pict>
          </mc:Fallback>
        </mc:AlternateContent>
      </w:r>
    </w:p>
    <w:p w14:paraId="68A9F565" w14:textId="77777777" w:rsidR="009E3E52" w:rsidRPr="009E3E52" w:rsidRDefault="009E3E52" w:rsidP="009E3E52"/>
    <w:p w14:paraId="5B38241E" w14:textId="77777777" w:rsidR="009E3E52" w:rsidRPr="009E3E52" w:rsidRDefault="009E3E52" w:rsidP="009E3E52"/>
    <w:p w14:paraId="13CE797A" w14:textId="77777777" w:rsidR="009E3E52" w:rsidRPr="009E3E52" w:rsidRDefault="009E3E52" w:rsidP="009E3E52"/>
    <w:p w14:paraId="73170A58" w14:textId="77777777" w:rsidR="009E3E52" w:rsidRPr="009E3E52" w:rsidRDefault="009E3E52" w:rsidP="009E3E52"/>
    <w:p w14:paraId="55F4C7AE" w14:textId="77777777" w:rsidR="009E3E52" w:rsidRPr="009E3E52" w:rsidRDefault="009E3E52" w:rsidP="009E3E52"/>
    <w:p w14:paraId="2A9D45D7" w14:textId="77777777" w:rsidR="009E3E52" w:rsidRPr="009E3E52" w:rsidRDefault="0079440E" w:rsidP="009E3E52">
      <w:r>
        <w:rPr>
          <w:noProof/>
          <w:lang w:val="en-US"/>
        </w:rPr>
        <mc:AlternateContent>
          <mc:Choice Requires="wps">
            <w:drawing>
              <wp:anchor distT="0" distB="0" distL="114300" distR="114300" simplePos="0" relativeHeight="251661312" behindDoc="0" locked="0" layoutInCell="1" allowOverlap="1" wp14:anchorId="2544A183" wp14:editId="76C074B3">
                <wp:simplePos x="0" y="0"/>
                <wp:positionH relativeFrom="page">
                  <wp:posOffset>800100</wp:posOffset>
                </wp:positionH>
                <wp:positionV relativeFrom="page">
                  <wp:posOffset>2463800</wp:posOffset>
                </wp:positionV>
                <wp:extent cx="5829300" cy="6515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651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385B539E" w14:textId="77777777" w:rsidR="009A3E2A" w:rsidRPr="009A3E2A" w:rsidRDefault="009A3E2A" w:rsidP="009A3E2A">
                            <w:pPr>
                              <w:rPr>
                                <w:rFonts w:ascii="Arial" w:eastAsia="Times New Roman" w:hAnsi="Arial" w:cs="Times New Roman"/>
                                <w:color w:val="9B2C98"/>
                                <w:sz w:val="28"/>
                              </w:rPr>
                            </w:pPr>
                            <w:r w:rsidRPr="009A3E2A">
                              <w:rPr>
                                <w:rFonts w:ascii="Arial" w:eastAsia="Times New Roman" w:hAnsi="Arial" w:cs="Times New Roman"/>
                                <w:color w:val="9B2C98"/>
                                <w:sz w:val="28"/>
                              </w:rPr>
                              <w:fldChar w:fldCharType="begin"/>
                            </w:r>
                            <w:r>
                              <w:rPr>
                                <w:rFonts w:ascii="Arial" w:eastAsia="Times New Roman" w:hAnsi="Arial" w:cs="Times New Roman"/>
                                <w:color w:val="9B2C98"/>
                                <w:sz w:val="28"/>
                              </w:rPr>
                              <w:instrText>HYPERLINK "https://lgadigital.sharepoint.com/sites/Workforce/Team/React,%20Recover,%20Renew/Following%20the%20government%20report%20on%20understanding%20the%20impact%20of%20COVID-19%20on%20BAME%20communities:%20https:/www.gov.uk/government/publications/covid-19-understanding-the-impact-on-bame-communities"</w:instrText>
                            </w:r>
                            <w:r w:rsidRPr="009A3E2A">
                              <w:rPr>
                                <w:rFonts w:ascii="Arial" w:eastAsia="Times New Roman" w:hAnsi="Arial" w:cs="Times New Roman"/>
                                <w:color w:val="9B2C98"/>
                                <w:sz w:val="28"/>
                              </w:rPr>
                              <w:fldChar w:fldCharType="separate"/>
                            </w:r>
                          </w:p>
                          <w:p w14:paraId="22A3949D" w14:textId="77777777" w:rsidR="009A3E2A" w:rsidRPr="009A3E2A" w:rsidRDefault="009A3E2A" w:rsidP="009A3E2A">
                            <w:pPr>
                              <w:rPr>
                                <w:rFonts w:ascii="Arial" w:eastAsia="Times New Roman" w:hAnsi="Arial" w:cs="Times New Roman"/>
                                <w:color w:val="9B2C98"/>
                                <w:sz w:val="28"/>
                              </w:rPr>
                            </w:pPr>
                            <w:r w:rsidRPr="009A3E2A">
                              <w:rPr>
                                <w:rFonts w:ascii="Arial" w:eastAsia="Times New Roman" w:hAnsi="Arial" w:cs="Times New Roman"/>
                                <w:color w:val="9B2C98"/>
                                <w:sz w:val="28"/>
                              </w:rPr>
                              <w:t>Following the government report on understanding the impact of COVID-19 on BAME communities</w:t>
                            </w:r>
                            <w:r w:rsidRPr="009A3E2A">
                              <w:rPr>
                                <w:rFonts w:ascii="Arial" w:eastAsia="Times New Roman" w:hAnsi="Arial" w:cs="Times New Roman"/>
                                <w:color w:val="9B2C98"/>
                                <w:sz w:val="28"/>
                              </w:rPr>
                              <w:fldChar w:fldCharType="end"/>
                            </w:r>
                            <w:r w:rsidRPr="009A3E2A">
                              <w:rPr>
                                <w:rFonts w:ascii="Arial" w:eastAsia="Times New Roman" w:hAnsi="Arial" w:cs="Times New Roman"/>
                                <w:color w:val="9B2C98"/>
                                <w:sz w:val="28"/>
                              </w:rPr>
                              <w:t xml:space="preserve"> (published 16 June) the LGA Workforce team undertook a review of our work on Equality, Diversity and Inclusion</w:t>
                            </w:r>
                            <w:r w:rsidR="0079440E">
                              <w:rPr>
                                <w:rFonts w:ascii="Arial" w:eastAsia="Times New Roman" w:hAnsi="Arial" w:cs="Times New Roman"/>
                                <w:color w:val="9B2C98"/>
                                <w:sz w:val="28"/>
                              </w:rPr>
                              <w:t xml:space="preserve"> work</w:t>
                            </w:r>
                            <w:r w:rsidRPr="009A3E2A">
                              <w:rPr>
                                <w:rFonts w:ascii="Arial" w:eastAsia="Times New Roman" w:hAnsi="Arial" w:cs="Times New Roman"/>
                                <w:color w:val="9B2C98"/>
                                <w:sz w:val="28"/>
                              </w:rPr>
                              <w:t xml:space="preserve"> to ensure we have the advice, support and materials to best support the local government workforce at this time. </w:t>
                            </w:r>
                            <w:r>
                              <w:rPr>
                                <w:rFonts w:ascii="Arial" w:eastAsia="Times New Roman" w:hAnsi="Arial" w:cs="Times New Roman"/>
                                <w:color w:val="9B2C98"/>
                                <w:sz w:val="28"/>
                              </w:rPr>
                              <w:br/>
                            </w:r>
                          </w:p>
                          <w:p w14:paraId="7889180F" w14:textId="77777777" w:rsidR="009A3E2A" w:rsidRPr="009A3E2A" w:rsidRDefault="009A3E2A" w:rsidP="009A3E2A">
                            <w:pPr>
                              <w:pStyle w:val="Heading1"/>
                              <w:rPr>
                                <w:rFonts w:ascii="Arial" w:hAnsi="Arial" w:cs="Arial"/>
                                <w:b/>
                                <w:sz w:val="22"/>
                                <w:szCs w:val="22"/>
                              </w:rPr>
                            </w:pPr>
                            <w:r w:rsidRPr="009A3E2A">
                              <w:rPr>
                                <w:rFonts w:ascii="Arial" w:eastAsia="Times New Roman" w:hAnsi="Arial" w:cs="Times New Roman"/>
                                <w:b/>
                                <w:color w:val="9B2C98"/>
                                <w:sz w:val="36"/>
                                <w:szCs w:val="36"/>
                              </w:rPr>
                              <w:t>LGA Workforce 5-point plan:</w:t>
                            </w:r>
                            <w:r>
                              <w:rPr>
                                <w:rFonts w:ascii="Arial" w:eastAsia="Times New Roman" w:hAnsi="Arial" w:cs="Times New Roman"/>
                                <w:b/>
                                <w:color w:val="9B2C98"/>
                                <w:sz w:val="36"/>
                                <w:szCs w:val="36"/>
                              </w:rPr>
                              <w:br/>
                            </w:r>
                          </w:p>
                          <w:p w14:paraId="3E6CED29"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 xml:space="preserve">Review existing materials and advice </w:t>
                            </w:r>
                          </w:p>
                          <w:p w14:paraId="73D32584"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Refreshed, new materials in an updated guide</w:t>
                            </w:r>
                          </w:p>
                          <w:p w14:paraId="0653412D" w14:textId="11AD4263" w:rsidR="009A3E2A" w:rsidRPr="009A3E2A" w:rsidRDefault="009A3E2A" w:rsidP="009A3E2A">
                            <w:pPr>
                              <w:pStyle w:val="ListParagraph"/>
                              <w:numPr>
                                <w:ilvl w:val="0"/>
                                <w:numId w:val="31"/>
                              </w:numPr>
                              <w:spacing w:after="160" w:line="259" w:lineRule="auto"/>
                              <w:rPr>
                                <w:rFonts w:cs="Arial"/>
                              </w:rPr>
                            </w:pPr>
                            <w:r w:rsidRPr="009A3E2A">
                              <w:rPr>
                                <w:rFonts w:cs="Arial"/>
                              </w:rPr>
                              <w:t>Webinars on Inclusive Leadership, and Ethnicity Pay Gap reporting.</w:t>
                            </w:r>
                          </w:p>
                          <w:p w14:paraId="42F81784"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 xml:space="preserve">Review the McGregor-Smith recommendations </w:t>
                            </w:r>
                          </w:p>
                          <w:p w14:paraId="42AAF753" w14:textId="11F84615" w:rsidR="00F265BC" w:rsidRPr="00F265BC" w:rsidRDefault="009A3E2A" w:rsidP="00F265BC">
                            <w:pPr>
                              <w:pStyle w:val="ListParagraph"/>
                              <w:numPr>
                                <w:ilvl w:val="0"/>
                                <w:numId w:val="31"/>
                              </w:numPr>
                              <w:spacing w:after="160" w:line="259" w:lineRule="auto"/>
                              <w:rPr>
                                <w:rFonts w:cs="Arial"/>
                              </w:rPr>
                            </w:pPr>
                            <w:r w:rsidRPr="009A3E2A">
                              <w:rPr>
                                <w:rFonts w:cs="Arial"/>
                              </w:rPr>
                              <w:t xml:space="preserve">Reviewing Equality Impact Assessments and producing guidance on how they can work effectively for your organisation </w:t>
                            </w:r>
                          </w:p>
                          <w:p w14:paraId="33DEF2DC" w14:textId="77777777" w:rsidR="009A3E2A" w:rsidRPr="009A3E2A" w:rsidRDefault="009A3E2A" w:rsidP="009A3E2A">
                            <w:pPr>
                              <w:rPr>
                                <w:rFonts w:ascii="Arial" w:hAnsi="Arial" w:cs="Arial"/>
                                <w:szCs w:val="22"/>
                              </w:rPr>
                            </w:pPr>
                          </w:p>
                          <w:p w14:paraId="0B17B53F" w14:textId="77777777" w:rsidR="009A3E2A" w:rsidRPr="009A3E2A" w:rsidRDefault="009A3E2A" w:rsidP="009A3E2A">
                            <w:pPr>
                              <w:pStyle w:val="ListParagraph"/>
                              <w:widowControl w:val="0"/>
                              <w:numPr>
                                <w:ilvl w:val="0"/>
                                <w:numId w:val="35"/>
                              </w:numPr>
                              <w:spacing w:line="510" w:lineRule="exact"/>
                              <w:rPr>
                                <w:rFonts w:eastAsia="Times New Roman" w:cs="Arial"/>
                                <w:b/>
                              </w:rPr>
                            </w:pPr>
                            <w:r w:rsidRPr="009A3E2A">
                              <w:rPr>
                                <w:rFonts w:eastAsia="Times New Roman" w:cs="Arial"/>
                                <w:b/>
                              </w:rPr>
                              <w:t xml:space="preserve">Existing materials and advice: </w:t>
                            </w:r>
                          </w:p>
                          <w:p w14:paraId="2790E4C4" w14:textId="77777777" w:rsidR="009A3E2A" w:rsidRPr="00171057" w:rsidRDefault="009A3E2A" w:rsidP="009A3E2A"/>
                          <w:p w14:paraId="7CA4F37D" w14:textId="77777777" w:rsidR="009A3E2A" w:rsidRDefault="009A3E2A" w:rsidP="009A3E2A">
                            <w:pPr>
                              <w:pStyle w:val="ListParagraph"/>
                              <w:numPr>
                                <w:ilvl w:val="0"/>
                                <w:numId w:val="34"/>
                              </w:numPr>
                              <w:spacing w:after="160" w:line="259" w:lineRule="auto"/>
                            </w:pPr>
                            <w:r>
                              <w:t xml:space="preserve">Existing materials on the </w:t>
                            </w:r>
                            <w:hyperlink r:id="rId12" w:history="1"/>
                            <w:r>
                              <w:t xml:space="preserve"> </w:t>
                            </w:r>
                            <w:hyperlink r:id="rId13" w:history="1">
                              <w:r w:rsidRPr="0012311A">
                                <w:rPr>
                                  <w:rStyle w:val="Hyperlink"/>
                                </w:rPr>
                                <w:t>LGA Website</w:t>
                              </w:r>
                            </w:hyperlink>
                            <w:r>
                              <w:t xml:space="preserve"> give advice on how to be inclusive and top tips on diversity. There is also a link to the </w:t>
                            </w:r>
                            <w:hyperlink r:id="rId14" w:history="1">
                              <w:r w:rsidRPr="00903228">
                                <w:rPr>
                                  <w:rStyle w:val="Hyperlink"/>
                                </w:rPr>
                                <w:t>LGA Equality Framework</w:t>
                              </w:r>
                            </w:hyperlink>
                            <w:r>
                              <w:t xml:space="preserve"> which we think provides an excellent and thorough review and includes workforce within that model. Our team has worked with the Improvement Team to review that this element is still relevant and fit for purpose. </w:t>
                            </w:r>
                          </w:p>
                          <w:p w14:paraId="5F1DFCC4" w14:textId="77777777" w:rsidR="009A3E2A" w:rsidRPr="00454D1A" w:rsidRDefault="009A3E2A" w:rsidP="009A3E2A">
                            <w:pPr>
                              <w:pStyle w:val="ListParagraph"/>
                              <w:numPr>
                                <w:ilvl w:val="0"/>
                                <w:numId w:val="34"/>
                              </w:numPr>
                              <w:spacing w:after="160" w:line="259" w:lineRule="auto"/>
                            </w:pPr>
                            <w:r>
                              <w:t>We also always cover equality issues within our Employment law updates and via the monthly Advisory Bulletin:</w:t>
                            </w:r>
                            <w:r w:rsidRPr="00454D1A">
                              <w:t xml:space="preserve"> </w:t>
                            </w:r>
                            <w:hyperlink r:id="rId15" w:history="1">
                              <w:r w:rsidRPr="00454D1A">
                                <w:rPr>
                                  <w:rStyle w:val="Hyperlink"/>
                                </w:rPr>
                                <w:t>employment law FAQs and LGA Workforce guidance</w:t>
                              </w:r>
                            </w:hyperlink>
                            <w:r w:rsidRPr="00454D1A">
                              <w:t xml:space="preserve"> </w:t>
                            </w:r>
                          </w:p>
                          <w:p w14:paraId="1C76DCDF" w14:textId="6ADCB311" w:rsidR="009A3E2A" w:rsidRDefault="009A3E2A" w:rsidP="009A3E2A">
                            <w:pPr>
                              <w:pStyle w:val="ListParagraph"/>
                              <w:numPr>
                                <w:ilvl w:val="0"/>
                                <w:numId w:val="34"/>
                              </w:numPr>
                              <w:spacing w:after="160" w:line="259" w:lineRule="auto"/>
                            </w:pPr>
                            <w:r>
                              <w:t xml:space="preserve">We also promote the </w:t>
                            </w:r>
                            <w:hyperlink r:id="rId16" w:history="1">
                              <w:r w:rsidRPr="00C31010">
                                <w:rPr>
                                  <w:rStyle w:val="Hyperlink"/>
                                </w:rPr>
                                <w:t>Race at Work Charter</w:t>
                              </w:r>
                            </w:hyperlink>
                            <w:r>
                              <w:t xml:space="preserve"> developed by Business in the Community which sets out 5 key actions that employers should take. This emerged out of a previous event the team ran with Sandra Kerr from Business in the Community and her slides (still relevant) are on our </w:t>
                            </w:r>
                            <w:hyperlink r:id="rId17" w:history="1">
                              <w:r w:rsidRPr="00D67867">
                                <w:rPr>
                                  <w:rStyle w:val="Hyperlink"/>
                                </w:rPr>
                                <w:t>web pages here.</w:t>
                              </w:r>
                            </w:hyperlink>
                            <w:r>
                              <w:t xml:space="preserve"> Th</w:t>
                            </w:r>
                            <w:r w:rsidR="00E676BA">
                              <w:t>is</w:t>
                            </w:r>
                            <w:r>
                              <w:t xml:space="preserve"> provides a practical set of actions</w:t>
                            </w:r>
                            <w:r w:rsidR="00E676BA">
                              <w:t xml:space="preserve"> and reflects the vision local government has for tackling inequalities.</w:t>
                            </w:r>
                          </w:p>
                          <w:p w14:paraId="17041F8C" w14:textId="7C9F30C7" w:rsidR="00F265BC" w:rsidRDefault="00F265BC" w:rsidP="009A3E2A">
                            <w:pPr>
                              <w:pStyle w:val="ListParagraph"/>
                              <w:numPr>
                                <w:ilvl w:val="0"/>
                                <w:numId w:val="34"/>
                              </w:numPr>
                              <w:spacing w:after="160" w:line="259" w:lineRule="auto"/>
                            </w:pPr>
                            <w:r>
                              <w:t>We will continue to work with Cllr Sharon Taylor who is the lead for equalities on the Resources Board, it is our intention to work with Cllr Taylor to produce additional comms such as blogs and articles in support of this work as it progresses.</w:t>
                            </w:r>
                          </w:p>
                          <w:p w14:paraId="021F3BAE" w14:textId="7B717BC6" w:rsidR="00112E9A" w:rsidRPr="00112E9A" w:rsidRDefault="00112E9A" w:rsidP="00112E9A">
                            <w:pPr>
                              <w:pStyle w:val="ListParagraph"/>
                              <w:numPr>
                                <w:ilvl w:val="0"/>
                                <w:numId w:val="34"/>
                              </w:numPr>
                              <w:spacing w:after="160" w:line="259" w:lineRule="auto"/>
                            </w:pPr>
                            <w:r w:rsidRPr="00112E9A">
                              <w:t xml:space="preserve">We will continue our work as part of “The Inclusive Fire Service Group” (IFSG) which is an NJC for Local Authority Fire and Rescue Services led group. Its membership however is wider and includes the National Employers, NFCC, FBU, FOA and the FRSA.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r w:rsidRPr="00112E9A">
                              <w:br/>
                            </w:r>
                          </w:p>
                          <w:p w14:paraId="143AEABF" w14:textId="77777777" w:rsidR="009A3E2A" w:rsidRPr="00276663" w:rsidRDefault="009A3E2A" w:rsidP="00276663">
                            <w:pPr>
                              <w:pStyle w:val="Heading1"/>
                              <w:numPr>
                                <w:ilvl w:val="0"/>
                                <w:numId w:val="35"/>
                              </w:numPr>
                              <w:rPr>
                                <w:rFonts w:ascii="Arial" w:eastAsia="Times New Roman" w:hAnsi="Arial" w:cs="Arial"/>
                                <w:b/>
                                <w:color w:val="auto"/>
                                <w:sz w:val="22"/>
                                <w:szCs w:val="22"/>
                              </w:rPr>
                            </w:pPr>
                            <w:r w:rsidRPr="00276663">
                              <w:rPr>
                                <w:rFonts w:ascii="Arial" w:eastAsia="Times New Roman" w:hAnsi="Arial" w:cs="Arial"/>
                                <w:b/>
                                <w:color w:val="auto"/>
                                <w:sz w:val="22"/>
                                <w:szCs w:val="22"/>
                              </w:rPr>
                              <w:t>Refreshed new materials in a new guide:</w:t>
                            </w:r>
                          </w:p>
                          <w:p w14:paraId="334C4D4C" w14:textId="1FC2A6F9" w:rsidR="009A3E2A" w:rsidRPr="009A3E2A" w:rsidRDefault="009A3E2A" w:rsidP="00276663">
                            <w:pPr>
                              <w:ind w:left="360"/>
                              <w:rPr>
                                <w:rFonts w:ascii="Arial" w:hAnsi="Arial" w:cs="Arial"/>
                                <w:szCs w:val="22"/>
                              </w:rPr>
                            </w:pPr>
                            <w:r w:rsidRPr="009A3E2A">
                              <w:rPr>
                                <w:rFonts w:ascii="Arial" w:hAnsi="Arial" w:cs="Arial"/>
                                <w:szCs w:val="22"/>
                              </w:rPr>
                              <w:t xml:space="preserve">Undertaking this internal review in the current context, we recognised that a lot of our advice was in different places, and </w:t>
                            </w:r>
                            <w:r w:rsidR="00E676BA">
                              <w:rPr>
                                <w:rFonts w:ascii="Arial" w:hAnsi="Arial" w:cs="Arial"/>
                                <w:szCs w:val="22"/>
                              </w:rPr>
                              <w:t>there is a</w:t>
                            </w:r>
                            <w:r w:rsidRPr="009A3E2A">
                              <w:rPr>
                                <w:rFonts w:ascii="Arial" w:hAnsi="Arial" w:cs="Arial"/>
                                <w:szCs w:val="22"/>
                              </w:rPr>
                              <w:t xml:space="preserve"> need for</w:t>
                            </w:r>
                            <w:r w:rsidR="00276663">
                              <w:rPr>
                                <w:rFonts w:ascii="Arial" w:hAnsi="Arial" w:cs="Arial"/>
                                <w:szCs w:val="22"/>
                              </w:rPr>
                              <w:t xml:space="preserve"> easily accessible </w:t>
                            </w:r>
                            <w:r w:rsidRPr="009A3E2A">
                              <w:rPr>
                                <w:rFonts w:ascii="Arial" w:hAnsi="Arial" w:cs="Arial"/>
                                <w:szCs w:val="22"/>
                              </w:rPr>
                              <w:t>information. To that end, we are working at pace to bring together practical advice and guidance specifically to deal</w:t>
                            </w:r>
                            <w:r w:rsidR="0079440E">
                              <w:rPr>
                                <w:rFonts w:ascii="Arial" w:hAnsi="Arial" w:cs="Arial"/>
                                <w:szCs w:val="22"/>
                              </w:rPr>
                              <w:t xml:space="preserve"> specifically</w:t>
                            </w:r>
                            <w:r w:rsidRPr="009A3E2A">
                              <w:rPr>
                                <w:rFonts w:ascii="Arial" w:hAnsi="Arial" w:cs="Arial"/>
                                <w:szCs w:val="22"/>
                              </w:rPr>
                              <w:t xml:space="preserve"> with racial equality in the local government workforce. This guide will cover</w:t>
                            </w:r>
                            <w:r w:rsidR="00E676BA">
                              <w:rPr>
                                <w:rFonts w:ascii="Arial" w:hAnsi="Arial" w:cs="Arial"/>
                                <w:szCs w:val="22"/>
                              </w:rPr>
                              <w:t xml:space="preserve"> issues such as</w:t>
                            </w:r>
                            <w:r w:rsidRPr="009A3E2A">
                              <w:rPr>
                                <w:rFonts w:ascii="Arial" w:hAnsi="Arial" w:cs="Arial"/>
                                <w:szCs w:val="22"/>
                              </w:rPr>
                              <w:t>:</w:t>
                            </w:r>
                            <w:r w:rsidR="0079440E">
                              <w:rPr>
                                <w:rFonts w:ascii="Arial" w:hAnsi="Arial" w:cs="Arial"/>
                                <w:szCs w:val="22"/>
                              </w:rPr>
                              <w:br/>
                            </w:r>
                          </w:p>
                          <w:p w14:paraId="113E2106"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Vision and Inclusive Leadership</w:t>
                            </w:r>
                          </w:p>
                          <w:p w14:paraId="17859070"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The importance of data collection, and the questions you need to be asking about the data</w:t>
                            </w:r>
                          </w:p>
                          <w:p w14:paraId="7A02E76F"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How to engage with employees</w:t>
                            </w:r>
                          </w:p>
                          <w:p w14:paraId="5C7589DB"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Pros and cons of anonymous recruiting processes, and the recruitment process more widely</w:t>
                            </w:r>
                          </w:p>
                          <w:p w14:paraId="24366C34" w14:textId="77777777" w:rsidR="009A3E2A" w:rsidRPr="009A3E2A" w:rsidRDefault="009A3E2A" w:rsidP="009A3E2A">
                            <w:pPr>
                              <w:pStyle w:val="ListParagraph"/>
                              <w:numPr>
                                <w:ilvl w:val="0"/>
                                <w:numId w:val="37"/>
                              </w:numPr>
                              <w:spacing w:after="160" w:line="259" w:lineRule="auto"/>
                              <w:rPr>
                                <w:rFonts w:cs="Arial"/>
                              </w:rPr>
                            </w:pPr>
                            <w:r w:rsidRPr="009A3E2A">
                              <w:rPr>
                                <w:rFonts w:cs="Arial"/>
                              </w:rPr>
                              <w:t xml:space="preserve">Exploring the </w:t>
                            </w:r>
                            <w:r>
                              <w:rPr>
                                <w:rFonts w:cs="Arial"/>
                              </w:rPr>
                              <w:t xml:space="preserve">effectiveness </w:t>
                            </w:r>
                            <w:r w:rsidRPr="009A3E2A">
                              <w:rPr>
                                <w:rFonts w:cs="Arial"/>
                              </w:rPr>
                              <w:t>of unconscious bias training</w:t>
                            </w:r>
                            <w:r w:rsidR="00E676BA">
                              <w:rPr>
                                <w:rFonts w:cs="Arial"/>
                              </w:rPr>
                              <w:t xml:space="preserve"> and other training options</w:t>
                            </w:r>
                          </w:p>
                          <w:p w14:paraId="56E1D1F8" w14:textId="77777777" w:rsidR="009A3E2A" w:rsidRDefault="009A3E2A" w:rsidP="009A3E2A">
                            <w:pPr>
                              <w:pStyle w:val="ListParagraph"/>
                              <w:numPr>
                                <w:ilvl w:val="0"/>
                                <w:numId w:val="37"/>
                              </w:numPr>
                              <w:spacing w:after="160" w:line="259" w:lineRule="auto"/>
                            </w:pPr>
                            <w:r>
                              <w:t>The link to procurement</w:t>
                            </w:r>
                          </w:p>
                          <w:p w14:paraId="3040F115" w14:textId="77777777" w:rsidR="009A3E2A" w:rsidRDefault="009A3E2A" w:rsidP="009A3E2A">
                            <w:pPr>
                              <w:pStyle w:val="ListParagraph"/>
                              <w:numPr>
                                <w:ilvl w:val="0"/>
                                <w:numId w:val="37"/>
                              </w:numPr>
                              <w:spacing w:after="160" w:line="259" w:lineRule="auto"/>
                            </w:pPr>
                            <w:r>
                              <w:t>The importance of language in the workplace</w:t>
                            </w:r>
                          </w:p>
                          <w:p w14:paraId="466D923D" w14:textId="098C742E" w:rsidR="009A3E2A" w:rsidRDefault="009A3E2A" w:rsidP="009A3E2A">
                            <w:pPr>
                              <w:pStyle w:val="ListParagraph"/>
                              <w:numPr>
                                <w:ilvl w:val="0"/>
                                <w:numId w:val="37"/>
                              </w:numPr>
                              <w:spacing w:after="160" w:line="259" w:lineRule="auto"/>
                            </w:pPr>
                            <w:r>
                              <w:t>Succession planning and career pathways</w:t>
                            </w:r>
                          </w:p>
                          <w:p w14:paraId="748FFF4E" w14:textId="77777777" w:rsidR="009A3E2A" w:rsidRDefault="009A3E2A" w:rsidP="009A3E2A">
                            <w:pPr>
                              <w:pStyle w:val="ListParagraph"/>
                              <w:numPr>
                                <w:ilvl w:val="0"/>
                                <w:numId w:val="37"/>
                              </w:numPr>
                              <w:spacing w:after="160" w:line="259" w:lineRule="auto"/>
                            </w:pPr>
                            <w:r>
                              <w:t>Ethnicity pay gap reporting</w:t>
                            </w:r>
                          </w:p>
                          <w:p w14:paraId="534248AC" w14:textId="77777777" w:rsidR="009A3E2A" w:rsidRPr="009A3E2A" w:rsidRDefault="009A3E2A" w:rsidP="00276663">
                            <w:pPr>
                              <w:pStyle w:val="Heading1"/>
                              <w:ind w:firstLine="360"/>
                              <w:rPr>
                                <w:rFonts w:ascii="Arial" w:eastAsia="Times New Roman" w:hAnsi="Arial" w:cs="Arial"/>
                                <w:b/>
                                <w:color w:val="auto"/>
                                <w:sz w:val="22"/>
                                <w:szCs w:val="22"/>
                              </w:rPr>
                            </w:pPr>
                            <w:r w:rsidRPr="009A3E2A">
                              <w:rPr>
                                <w:rFonts w:ascii="Arial" w:eastAsia="Times New Roman" w:hAnsi="Arial" w:cs="Arial"/>
                                <w:b/>
                                <w:color w:val="auto"/>
                                <w:sz w:val="22"/>
                                <w:szCs w:val="22"/>
                              </w:rPr>
                              <w:t>3) Webinars planned for autumn 2020</w:t>
                            </w:r>
                            <w:r w:rsidR="00276663">
                              <w:rPr>
                                <w:rFonts w:ascii="Arial" w:eastAsia="Times New Roman" w:hAnsi="Arial" w:cs="Arial"/>
                                <w:b/>
                                <w:color w:val="auto"/>
                                <w:sz w:val="22"/>
                                <w:szCs w:val="22"/>
                              </w:rPr>
                              <w:t>:</w:t>
                            </w:r>
                            <w:r>
                              <w:rPr>
                                <w:rFonts w:ascii="Arial" w:eastAsia="Times New Roman" w:hAnsi="Arial" w:cs="Arial"/>
                                <w:b/>
                                <w:color w:val="auto"/>
                                <w:sz w:val="22"/>
                                <w:szCs w:val="22"/>
                              </w:rPr>
                              <w:br/>
                            </w:r>
                          </w:p>
                          <w:p w14:paraId="30EAD9B5" w14:textId="15825C90" w:rsidR="009A3E2A" w:rsidRPr="009A3E2A" w:rsidRDefault="009A3E2A" w:rsidP="009A3E2A">
                            <w:pPr>
                              <w:pStyle w:val="ListParagraph"/>
                              <w:numPr>
                                <w:ilvl w:val="0"/>
                                <w:numId w:val="38"/>
                              </w:numPr>
                              <w:rPr>
                                <w:rFonts w:cs="Arial"/>
                              </w:rPr>
                            </w:pPr>
                            <w:r w:rsidRPr="009A3E2A">
                              <w:rPr>
                                <w:rFonts w:cs="Arial"/>
                                <w:b/>
                              </w:rPr>
                              <w:t>Inclusive Leadership:</w:t>
                            </w:r>
                            <w:r w:rsidRPr="009A3E2A">
                              <w:rPr>
                                <w:rFonts w:cs="Arial"/>
                              </w:rPr>
                              <w:t xml:space="preserve"> originally planned for the LGA conference 2020, we are turn</w:t>
                            </w:r>
                            <w:r w:rsidR="00E676BA">
                              <w:rPr>
                                <w:rFonts w:cs="Arial"/>
                              </w:rPr>
                              <w:t>ing</w:t>
                            </w:r>
                            <w:r w:rsidRPr="009A3E2A">
                              <w:rPr>
                                <w:rFonts w:cs="Arial"/>
                              </w:rPr>
                              <w:t xml:space="preserve"> that session into an online </w:t>
                            </w:r>
                            <w:r w:rsidR="00E676BA">
                              <w:rPr>
                                <w:rFonts w:cs="Arial"/>
                              </w:rPr>
                              <w:t>w</w:t>
                            </w:r>
                            <w:r w:rsidRPr="009A3E2A">
                              <w:rPr>
                                <w:rFonts w:cs="Arial"/>
                              </w:rPr>
                              <w:t>ebinar so that we can share ideas and best practice from around local government on what we mean by inclusive leadership and what that looks like.</w:t>
                            </w:r>
                            <w:r w:rsidR="0079440E">
                              <w:rPr>
                                <w:rFonts w:cs="Arial"/>
                              </w:rPr>
                              <w:br/>
                            </w:r>
                          </w:p>
                          <w:p w14:paraId="3CAECBD2" w14:textId="5CA77C77" w:rsidR="009A3E2A" w:rsidRPr="009A3E2A" w:rsidRDefault="009A3E2A" w:rsidP="009A3E2A">
                            <w:pPr>
                              <w:pStyle w:val="ListParagraph"/>
                              <w:numPr>
                                <w:ilvl w:val="0"/>
                                <w:numId w:val="38"/>
                              </w:numPr>
                              <w:shd w:val="clear" w:color="auto" w:fill="FFFFFF"/>
                              <w:spacing w:before="100" w:beforeAutospacing="1" w:after="100" w:afterAutospacing="1"/>
                              <w:rPr>
                                <w:rFonts w:cs="Arial"/>
                              </w:rPr>
                            </w:pPr>
                            <w:r w:rsidRPr="009A3E2A">
                              <w:rPr>
                                <w:rFonts w:cs="Arial"/>
                                <w:b/>
                              </w:rPr>
                              <w:t>Ethnicity pay gap reporting:</w:t>
                            </w:r>
                            <w:r w:rsidRPr="009A3E2A">
                              <w:rPr>
                                <w:rFonts w:cs="Arial"/>
                              </w:rPr>
                              <w:t xml:space="preserve"> in the way that gender pay gap reporting proved to be a good</w:t>
                            </w:r>
                            <w:r w:rsidR="0079440E">
                              <w:rPr>
                                <w:rFonts w:cs="Arial"/>
                              </w:rPr>
                              <w:t xml:space="preserve"> starting point for conversations about equal pay in the workplace, </w:t>
                            </w:r>
                            <w:r w:rsidRPr="009A3E2A">
                              <w:rPr>
                                <w:rFonts w:cs="Arial"/>
                              </w:rPr>
                              <w:t xml:space="preserve">ethnicity pay gap reporting could enable </w:t>
                            </w:r>
                            <w:r w:rsidR="00E676BA">
                              <w:rPr>
                                <w:rFonts w:cs="Arial"/>
                              </w:rPr>
                              <w:t>a similar</w:t>
                            </w:r>
                            <w:r w:rsidRPr="009A3E2A">
                              <w:rPr>
                                <w:rFonts w:cs="Arial"/>
                              </w:rPr>
                              <w:t xml:space="preserve"> conversation </w:t>
                            </w:r>
                            <w:r w:rsidR="00E676BA">
                              <w:rPr>
                                <w:rFonts w:cs="Arial"/>
                              </w:rPr>
                              <w:t>around</w:t>
                            </w:r>
                            <w:r w:rsidRPr="009A3E2A">
                              <w:rPr>
                                <w:rFonts w:cs="Arial"/>
                              </w:rPr>
                              <w:t xml:space="preserve"> race. </w:t>
                            </w:r>
                            <w:r w:rsidR="0079440E">
                              <w:rPr>
                                <w:rFonts w:cs="Arial"/>
                              </w:rPr>
                              <w:t xml:space="preserve">This tool is by no means </w:t>
                            </w:r>
                            <w:r w:rsidR="00276663">
                              <w:rPr>
                                <w:rFonts w:cs="Arial"/>
                              </w:rPr>
                              <w:t>perfect but</w:t>
                            </w:r>
                            <w:r w:rsidR="0079440E">
                              <w:rPr>
                                <w:rFonts w:cs="Arial"/>
                              </w:rPr>
                              <w:t xml:space="preserve"> can provide a useful snap shot of </w:t>
                            </w:r>
                            <w:r w:rsidR="00E676BA">
                              <w:rPr>
                                <w:rFonts w:cs="Arial"/>
                              </w:rPr>
                              <w:t xml:space="preserve">for </w:t>
                            </w:r>
                            <w:r w:rsidR="0079440E">
                              <w:rPr>
                                <w:rFonts w:cs="Arial"/>
                              </w:rPr>
                              <w:t xml:space="preserve">an organisation. </w:t>
                            </w:r>
                            <w:r w:rsidRPr="009A3E2A">
                              <w:rPr>
                                <w:rFonts w:cs="Arial"/>
                              </w:rPr>
                              <w:t>Followi</w:t>
                            </w:r>
                            <w:r w:rsidR="0079440E">
                              <w:rPr>
                                <w:rFonts w:cs="Arial"/>
                              </w:rPr>
                              <w:t xml:space="preserve">ng </w:t>
                            </w:r>
                            <w:r w:rsidRPr="009A3E2A">
                              <w:rPr>
                                <w:rFonts w:cs="Arial"/>
                              </w:rPr>
                              <w:t>consultation in 2019</w:t>
                            </w:r>
                            <w:r w:rsidR="00E676BA">
                              <w:rPr>
                                <w:rFonts w:cs="Arial"/>
                              </w:rPr>
                              <w:t>,</w:t>
                            </w:r>
                            <w:r w:rsidRPr="009A3E2A">
                              <w:rPr>
                                <w:rFonts w:cs="Arial"/>
                              </w:rPr>
                              <w:t xml:space="preserve"> </w:t>
                            </w:r>
                            <w:r w:rsidR="0079440E">
                              <w:rPr>
                                <w:rFonts w:cs="Arial"/>
                              </w:rPr>
                              <w:t xml:space="preserve">the government </w:t>
                            </w:r>
                            <w:r w:rsidRPr="009A3E2A">
                              <w:rPr>
                                <w:rFonts w:cs="Arial"/>
                              </w:rPr>
                              <w:t>decided not to make ethnicity pay gap reporting mandatory</w:t>
                            </w:r>
                            <w:r w:rsidR="0079440E">
                              <w:rPr>
                                <w:rFonts w:cs="Arial"/>
                              </w:rPr>
                              <w:t>,</w:t>
                            </w:r>
                            <w:r w:rsidRPr="009A3E2A">
                              <w:rPr>
                                <w:rFonts w:cs="Arial"/>
                              </w:rPr>
                              <w:t xml:space="preserve"> but this</w:t>
                            </w:r>
                            <w:r w:rsidR="0079440E">
                              <w:rPr>
                                <w:rFonts w:cs="Arial"/>
                              </w:rPr>
                              <w:t xml:space="preserve"> issue </w:t>
                            </w:r>
                            <w:r w:rsidR="00E676BA">
                              <w:rPr>
                                <w:rFonts w:cs="Arial"/>
                              </w:rPr>
                              <w:t xml:space="preserve">may well </w:t>
                            </w:r>
                            <w:r w:rsidR="0079440E">
                              <w:rPr>
                                <w:rFonts w:cs="Arial"/>
                              </w:rPr>
                              <w:t xml:space="preserve">return to the agenda. </w:t>
                            </w:r>
                            <w:r w:rsidRPr="009A3E2A">
                              <w:rPr>
                                <w:rFonts w:cs="Arial"/>
                              </w:rPr>
                              <w:t>In any case, there are plenty of arguments to encourage local authorities to voluntarily start reporting the</w:t>
                            </w:r>
                            <w:r w:rsidR="0079440E">
                              <w:rPr>
                                <w:rFonts w:cs="Arial"/>
                              </w:rPr>
                              <w:t>ir</w:t>
                            </w:r>
                            <w:r w:rsidRPr="009A3E2A">
                              <w:rPr>
                                <w:rFonts w:cs="Arial"/>
                              </w:rPr>
                              <w:t xml:space="preserve"> ethnicity gap (</w:t>
                            </w:r>
                            <w:r w:rsidR="0079440E">
                              <w:rPr>
                                <w:rFonts w:cs="Arial"/>
                              </w:rPr>
                              <w:t xml:space="preserve">which some already do, </w:t>
                            </w:r>
                            <w:r w:rsidRPr="009A3E2A">
                              <w:rPr>
                                <w:rFonts w:cs="Arial"/>
                              </w:rPr>
                              <w:t xml:space="preserve">for example the London Borough of Croydon). This article in </w:t>
                            </w:r>
                            <w:hyperlink r:id="rId18" w:history="1">
                              <w:r w:rsidRPr="009A3E2A">
                                <w:rPr>
                                  <w:rStyle w:val="Hyperlink"/>
                                  <w:rFonts w:cs="Arial"/>
                                </w:rPr>
                                <w:t>Personnel Today</w:t>
                              </w:r>
                            </w:hyperlink>
                            <w:r w:rsidRPr="009A3E2A">
                              <w:rPr>
                                <w:rFonts w:cs="Arial"/>
                              </w:rPr>
                              <w:t xml:space="preserve"> encourages employers not to wait for the legislation, and to start having a conversation with employees about why this data collection is important. </w:t>
                            </w:r>
                          </w:p>
                          <w:p w14:paraId="18CE13AE" w14:textId="77777777" w:rsidR="009A3E2A" w:rsidRPr="009A3E2A" w:rsidRDefault="009A3E2A" w:rsidP="00276663">
                            <w:pPr>
                              <w:pStyle w:val="Heading1"/>
                              <w:ind w:firstLine="360"/>
                              <w:rPr>
                                <w:rFonts w:ascii="Arial" w:eastAsia="Times New Roman" w:hAnsi="Arial" w:cs="Arial"/>
                                <w:b/>
                                <w:color w:val="auto"/>
                                <w:sz w:val="22"/>
                                <w:szCs w:val="22"/>
                              </w:rPr>
                            </w:pPr>
                            <w:r w:rsidRPr="009A3E2A">
                              <w:rPr>
                                <w:rFonts w:ascii="Arial" w:eastAsia="Times New Roman" w:hAnsi="Arial" w:cs="Arial"/>
                                <w:b/>
                                <w:color w:val="auto"/>
                                <w:sz w:val="22"/>
                                <w:szCs w:val="22"/>
                              </w:rPr>
                              <w:t>4) Reviewing the McGregor-Smith recommendations</w:t>
                            </w:r>
                            <w:r w:rsidR="00276663">
                              <w:rPr>
                                <w:rFonts w:ascii="Arial" w:eastAsia="Times New Roman" w:hAnsi="Arial" w:cs="Arial"/>
                                <w:b/>
                                <w:color w:val="auto"/>
                                <w:sz w:val="22"/>
                                <w:szCs w:val="22"/>
                              </w:rPr>
                              <w:t>:</w:t>
                            </w:r>
                          </w:p>
                          <w:p w14:paraId="34D5AC44" w14:textId="77777777" w:rsidR="009A3E2A" w:rsidRPr="009A3E2A" w:rsidRDefault="0079440E" w:rsidP="00276663">
                            <w:pPr>
                              <w:shd w:val="clear" w:color="auto" w:fill="FFFFFF"/>
                              <w:spacing w:before="100" w:beforeAutospacing="1" w:after="100" w:afterAutospacing="1"/>
                              <w:ind w:left="360"/>
                              <w:rPr>
                                <w:rFonts w:ascii="Arial" w:hAnsi="Arial" w:cs="Arial"/>
                              </w:rPr>
                            </w:pPr>
                            <w:r>
                              <w:rPr>
                                <w:rFonts w:ascii="Arial" w:hAnsi="Arial" w:cs="Arial"/>
                              </w:rPr>
                              <w:t>The</w:t>
                            </w:r>
                            <w:r w:rsidR="009A3E2A" w:rsidRPr="009A3E2A">
                              <w:rPr>
                                <w:rFonts w:ascii="Arial" w:hAnsi="Arial" w:cs="Arial"/>
                              </w:rPr>
                              <w:t xml:space="preserve"> </w:t>
                            </w:r>
                            <w:hyperlink r:id="rId19" w:history="1">
                              <w:r w:rsidR="009A3E2A" w:rsidRPr="009A3E2A">
                                <w:rPr>
                                  <w:rStyle w:val="Hyperlink"/>
                                  <w:rFonts w:ascii="Arial" w:hAnsi="Arial" w:cs="Arial"/>
                                </w:rPr>
                                <w:t>2017 independent</w:t>
                              </w:r>
                            </w:hyperlink>
                            <w:r w:rsidR="009A3E2A" w:rsidRPr="009A3E2A">
                              <w:rPr>
                                <w:rFonts w:ascii="Arial" w:hAnsi="Arial" w:cs="Arial"/>
                              </w:rPr>
                              <w:t xml:space="preserve"> report written by Baroness McGregor-Smith considering the issues affecting black and minority ethnic groups in the workplace</w:t>
                            </w:r>
                            <w:r>
                              <w:rPr>
                                <w:rFonts w:ascii="Arial" w:hAnsi="Arial" w:cs="Arial"/>
                              </w:rPr>
                              <w:t xml:space="preserve"> </w:t>
                            </w:r>
                            <w:r w:rsidR="009A3E2A" w:rsidRPr="009A3E2A">
                              <w:rPr>
                                <w:rFonts w:ascii="Arial" w:hAnsi="Arial" w:cs="Arial"/>
                              </w:rPr>
                              <w:t xml:space="preserve">contained 30 recommendations which we intend to re-review and ensure we have captured all the learning from that report.  </w:t>
                            </w:r>
                          </w:p>
                          <w:p w14:paraId="043E6D12" w14:textId="77777777" w:rsidR="009A3E2A" w:rsidRDefault="009A3E2A" w:rsidP="00276663">
                            <w:pPr>
                              <w:pStyle w:val="Heading1"/>
                              <w:ind w:firstLine="360"/>
                            </w:pPr>
                            <w:r w:rsidRPr="009A3E2A">
                              <w:rPr>
                                <w:rFonts w:ascii="Arial" w:eastAsia="Times New Roman" w:hAnsi="Arial" w:cs="Arial"/>
                                <w:b/>
                                <w:color w:val="auto"/>
                                <w:sz w:val="22"/>
                                <w:szCs w:val="22"/>
                              </w:rPr>
                              <w:t>5. Reviewing Equality Impact Assessments</w:t>
                            </w:r>
                            <w:r w:rsidR="00276663">
                              <w:rPr>
                                <w:rFonts w:ascii="Arial" w:eastAsia="Times New Roman" w:hAnsi="Arial" w:cs="Arial"/>
                                <w:b/>
                                <w:color w:val="auto"/>
                                <w:sz w:val="22"/>
                                <w:szCs w:val="22"/>
                              </w:rPr>
                              <w:t>:</w:t>
                            </w:r>
                          </w:p>
                          <w:p w14:paraId="69EB0023" w14:textId="08E103A0" w:rsidR="009A3E2A" w:rsidRPr="009A3E2A" w:rsidRDefault="009A3E2A" w:rsidP="00276663">
                            <w:pPr>
                              <w:shd w:val="clear" w:color="auto" w:fill="FFFFFF"/>
                              <w:spacing w:before="100" w:beforeAutospacing="1" w:after="100" w:afterAutospacing="1"/>
                              <w:ind w:left="360"/>
                              <w:rPr>
                                <w:rFonts w:ascii="Arial" w:hAnsi="Arial" w:cs="Arial"/>
                              </w:rPr>
                            </w:pPr>
                            <w:r w:rsidRPr="009A3E2A">
                              <w:rPr>
                                <w:rFonts w:ascii="Arial" w:hAnsi="Arial" w:cs="Arial"/>
                              </w:rPr>
                              <w:t xml:space="preserve">There is a </w:t>
                            </w:r>
                            <w:r w:rsidR="00E676BA">
                              <w:rPr>
                                <w:rFonts w:ascii="Arial" w:hAnsi="Arial" w:cs="Arial"/>
                              </w:rPr>
                              <w:t xml:space="preserve">view </w:t>
                            </w:r>
                            <w:r w:rsidRPr="009A3E2A">
                              <w:rPr>
                                <w:rFonts w:ascii="Arial" w:hAnsi="Arial" w:cs="Arial"/>
                              </w:rPr>
                              <w:t xml:space="preserve">that </w:t>
                            </w:r>
                            <w:r w:rsidR="00E676BA">
                              <w:rPr>
                                <w:rFonts w:ascii="Arial" w:hAnsi="Arial" w:cs="Arial"/>
                              </w:rPr>
                              <w:t xml:space="preserve">in some areas </w:t>
                            </w:r>
                            <w:r w:rsidRPr="009A3E2A">
                              <w:rPr>
                                <w:rFonts w:ascii="Arial" w:hAnsi="Arial" w:cs="Arial"/>
                              </w:rPr>
                              <w:t>equality impact assessments have become a tick-box exercise and something to get through, rather than being something that can add value or provide effective support to workforce planning. It</w:t>
                            </w:r>
                            <w:r w:rsidR="0079440E">
                              <w:rPr>
                                <w:rFonts w:ascii="Arial" w:hAnsi="Arial" w:cs="Arial"/>
                              </w:rPr>
                              <w:t xml:space="preserve"> is</w:t>
                            </w:r>
                            <w:r w:rsidRPr="009A3E2A">
                              <w:rPr>
                                <w:rFonts w:ascii="Arial" w:hAnsi="Arial" w:cs="Arial"/>
                              </w:rPr>
                              <w:t xml:space="preserve"> our intention to develop a piece of work to make that public duty more meaningful, better understood – and a more positive tool for </w:t>
                            </w:r>
                            <w:r w:rsidR="00E676BA">
                              <w:rPr>
                                <w:rFonts w:ascii="Arial" w:hAnsi="Arial" w:cs="Arial"/>
                              </w:rPr>
                              <w:t>employers</w:t>
                            </w:r>
                            <w:r w:rsidRPr="009A3E2A">
                              <w:rPr>
                                <w:rFonts w:ascii="Arial" w:hAnsi="Arial" w:cs="Arial"/>
                              </w:rPr>
                              <w:t xml:space="preserve"> to access. </w:t>
                            </w:r>
                          </w:p>
                          <w:p w14:paraId="77712C2F" w14:textId="77777777" w:rsidR="009A3E2A" w:rsidRDefault="009A3E2A" w:rsidP="009A3E2A">
                            <w:pPr>
                              <w:shd w:val="clear" w:color="auto" w:fill="FFFFFF"/>
                              <w:spacing w:before="100" w:beforeAutospacing="1" w:after="100" w:afterAutospacing="1"/>
                            </w:pPr>
                          </w:p>
                          <w:p w14:paraId="10C409B9" w14:textId="77777777" w:rsidR="009A3E2A" w:rsidRPr="00455A05" w:rsidRDefault="009A3E2A" w:rsidP="009A3E2A">
                            <w:pPr>
                              <w:pStyle w:val="ListParagraph"/>
                              <w:rPr>
                                <w:i/>
                              </w:rPr>
                            </w:pPr>
                          </w:p>
                          <w:p w14:paraId="4BB5BB7F" w14:textId="77777777" w:rsidR="007D6682" w:rsidRPr="00F54F92" w:rsidRDefault="007D6682" w:rsidP="00905BB1">
                            <w:pPr>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A183" id="Text Box 3" o:spid="_x0000_s1027" type="#_x0000_t202" style="position:absolute;margin-left:63pt;margin-top:194pt;width:459pt;height:5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" filled="f" stroked="f">
                <v:textbox style="mso-next-textbox:#Text Box 12">
                  <w:txbxContent>
                    <w:p w14:paraId="385B539E" w14:textId="77777777" w:rsidR="009A3E2A" w:rsidRPr="009A3E2A" w:rsidRDefault="009A3E2A" w:rsidP="009A3E2A">
                      <w:pPr>
                        <w:rPr>
                          <w:rFonts w:ascii="Arial" w:eastAsia="Times New Roman" w:hAnsi="Arial" w:cs="Times New Roman"/>
                          <w:color w:val="9B2C98"/>
                          <w:sz w:val="28"/>
                        </w:rPr>
                      </w:pPr>
                      <w:r w:rsidRPr="009A3E2A">
                        <w:rPr>
                          <w:rFonts w:ascii="Arial" w:eastAsia="Times New Roman" w:hAnsi="Arial" w:cs="Times New Roman"/>
                          <w:color w:val="9B2C98"/>
                          <w:sz w:val="28"/>
                        </w:rPr>
                        <w:fldChar w:fldCharType="begin"/>
                      </w:r>
                      <w:r>
                        <w:rPr>
                          <w:rFonts w:ascii="Arial" w:eastAsia="Times New Roman" w:hAnsi="Arial" w:cs="Times New Roman"/>
                          <w:color w:val="9B2C98"/>
                          <w:sz w:val="28"/>
                        </w:rPr>
                        <w:instrText>HYPERLINK "https://lgadigital.sharepoint.com/sites/Workforce/Team/React,%20Recover,%20Renew/Following%20the%20government%20report%20on%20understanding%20the%20impact%20of%20COVID-19%20on%20BAME%20communities:%20https:/www.gov.uk/government/publications/covid-19-understanding-the-impact-on-bame-communities"</w:instrText>
                      </w:r>
                      <w:r w:rsidRPr="009A3E2A">
                        <w:rPr>
                          <w:rFonts w:ascii="Arial" w:eastAsia="Times New Roman" w:hAnsi="Arial" w:cs="Times New Roman"/>
                          <w:color w:val="9B2C98"/>
                          <w:sz w:val="28"/>
                        </w:rPr>
                        <w:fldChar w:fldCharType="separate"/>
                      </w:r>
                    </w:p>
                    <w:p w14:paraId="22A3949D" w14:textId="77777777" w:rsidR="009A3E2A" w:rsidRPr="009A3E2A" w:rsidRDefault="009A3E2A" w:rsidP="009A3E2A">
                      <w:pPr>
                        <w:rPr>
                          <w:rFonts w:ascii="Arial" w:eastAsia="Times New Roman" w:hAnsi="Arial" w:cs="Times New Roman"/>
                          <w:color w:val="9B2C98"/>
                          <w:sz w:val="28"/>
                        </w:rPr>
                      </w:pPr>
                      <w:r w:rsidRPr="009A3E2A">
                        <w:rPr>
                          <w:rFonts w:ascii="Arial" w:eastAsia="Times New Roman" w:hAnsi="Arial" w:cs="Times New Roman"/>
                          <w:color w:val="9B2C98"/>
                          <w:sz w:val="28"/>
                        </w:rPr>
                        <w:t>Following the government report on understanding the impact of COVID-19 on BAME communities</w:t>
                      </w:r>
                      <w:r w:rsidRPr="009A3E2A">
                        <w:rPr>
                          <w:rFonts w:ascii="Arial" w:eastAsia="Times New Roman" w:hAnsi="Arial" w:cs="Times New Roman"/>
                          <w:color w:val="9B2C98"/>
                          <w:sz w:val="28"/>
                        </w:rPr>
                        <w:fldChar w:fldCharType="end"/>
                      </w:r>
                      <w:r w:rsidRPr="009A3E2A">
                        <w:rPr>
                          <w:rFonts w:ascii="Arial" w:eastAsia="Times New Roman" w:hAnsi="Arial" w:cs="Times New Roman"/>
                          <w:color w:val="9B2C98"/>
                          <w:sz w:val="28"/>
                        </w:rPr>
                        <w:t xml:space="preserve"> (published 16 June) the LGA Workforce team undertook a review of our work on Equality, Diversity and Inclusion</w:t>
                      </w:r>
                      <w:r w:rsidR="0079440E">
                        <w:rPr>
                          <w:rFonts w:ascii="Arial" w:eastAsia="Times New Roman" w:hAnsi="Arial" w:cs="Times New Roman"/>
                          <w:color w:val="9B2C98"/>
                          <w:sz w:val="28"/>
                        </w:rPr>
                        <w:t xml:space="preserve"> work</w:t>
                      </w:r>
                      <w:r w:rsidRPr="009A3E2A">
                        <w:rPr>
                          <w:rFonts w:ascii="Arial" w:eastAsia="Times New Roman" w:hAnsi="Arial" w:cs="Times New Roman"/>
                          <w:color w:val="9B2C98"/>
                          <w:sz w:val="28"/>
                        </w:rPr>
                        <w:t xml:space="preserve"> to ensure we have the advice, support and materials to best support the local government workforce at this time. </w:t>
                      </w:r>
                      <w:r>
                        <w:rPr>
                          <w:rFonts w:ascii="Arial" w:eastAsia="Times New Roman" w:hAnsi="Arial" w:cs="Times New Roman"/>
                          <w:color w:val="9B2C98"/>
                          <w:sz w:val="28"/>
                        </w:rPr>
                        <w:br/>
                      </w:r>
                    </w:p>
                    <w:p w14:paraId="7889180F" w14:textId="77777777" w:rsidR="009A3E2A" w:rsidRPr="009A3E2A" w:rsidRDefault="009A3E2A" w:rsidP="009A3E2A">
                      <w:pPr>
                        <w:pStyle w:val="Heading1"/>
                        <w:rPr>
                          <w:rFonts w:ascii="Arial" w:hAnsi="Arial" w:cs="Arial"/>
                          <w:b/>
                          <w:sz w:val="22"/>
                          <w:szCs w:val="22"/>
                        </w:rPr>
                      </w:pPr>
                      <w:r w:rsidRPr="009A3E2A">
                        <w:rPr>
                          <w:rFonts w:ascii="Arial" w:eastAsia="Times New Roman" w:hAnsi="Arial" w:cs="Times New Roman"/>
                          <w:b/>
                          <w:color w:val="9B2C98"/>
                          <w:sz w:val="36"/>
                          <w:szCs w:val="36"/>
                        </w:rPr>
                        <w:t>LGA Workforce 5-point plan:</w:t>
                      </w:r>
                      <w:r>
                        <w:rPr>
                          <w:rFonts w:ascii="Arial" w:eastAsia="Times New Roman" w:hAnsi="Arial" w:cs="Times New Roman"/>
                          <w:b/>
                          <w:color w:val="9B2C98"/>
                          <w:sz w:val="36"/>
                          <w:szCs w:val="36"/>
                        </w:rPr>
                        <w:br/>
                      </w:r>
                    </w:p>
                    <w:p w14:paraId="3E6CED29"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 xml:space="preserve">Review existing materials and advice </w:t>
                      </w:r>
                    </w:p>
                    <w:p w14:paraId="73D32584"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Refreshed, new materials in an updated guide</w:t>
                      </w:r>
                    </w:p>
                    <w:p w14:paraId="0653412D" w14:textId="11AD4263" w:rsidR="009A3E2A" w:rsidRPr="009A3E2A" w:rsidRDefault="009A3E2A" w:rsidP="009A3E2A">
                      <w:pPr>
                        <w:pStyle w:val="ListParagraph"/>
                        <w:numPr>
                          <w:ilvl w:val="0"/>
                          <w:numId w:val="31"/>
                        </w:numPr>
                        <w:spacing w:after="160" w:line="259" w:lineRule="auto"/>
                        <w:rPr>
                          <w:rFonts w:cs="Arial"/>
                        </w:rPr>
                      </w:pPr>
                      <w:r w:rsidRPr="009A3E2A">
                        <w:rPr>
                          <w:rFonts w:cs="Arial"/>
                        </w:rPr>
                        <w:t>Webinars on Inclusive Leadership, and Ethnicity Pay Gap reporting.</w:t>
                      </w:r>
                    </w:p>
                    <w:p w14:paraId="42F81784" w14:textId="77777777" w:rsidR="009A3E2A" w:rsidRPr="009A3E2A" w:rsidRDefault="009A3E2A" w:rsidP="009A3E2A">
                      <w:pPr>
                        <w:pStyle w:val="ListParagraph"/>
                        <w:numPr>
                          <w:ilvl w:val="0"/>
                          <w:numId w:val="31"/>
                        </w:numPr>
                        <w:spacing w:after="160" w:line="259" w:lineRule="auto"/>
                        <w:rPr>
                          <w:rFonts w:cs="Arial"/>
                        </w:rPr>
                      </w:pPr>
                      <w:r w:rsidRPr="009A3E2A">
                        <w:rPr>
                          <w:rFonts w:cs="Arial"/>
                        </w:rPr>
                        <w:t xml:space="preserve">Review the McGregor-Smith recommendations </w:t>
                      </w:r>
                    </w:p>
                    <w:p w14:paraId="42AAF753" w14:textId="11F84615" w:rsidR="00F265BC" w:rsidRPr="00F265BC" w:rsidRDefault="009A3E2A" w:rsidP="00F265BC">
                      <w:pPr>
                        <w:pStyle w:val="ListParagraph"/>
                        <w:numPr>
                          <w:ilvl w:val="0"/>
                          <w:numId w:val="31"/>
                        </w:numPr>
                        <w:spacing w:after="160" w:line="259" w:lineRule="auto"/>
                        <w:rPr>
                          <w:rFonts w:cs="Arial"/>
                        </w:rPr>
                      </w:pPr>
                      <w:r w:rsidRPr="009A3E2A">
                        <w:rPr>
                          <w:rFonts w:cs="Arial"/>
                        </w:rPr>
                        <w:t xml:space="preserve">Reviewing Equality Impact Assessments and producing guidance on how they can work effectively for your organisation </w:t>
                      </w:r>
                    </w:p>
                    <w:p w14:paraId="33DEF2DC" w14:textId="77777777" w:rsidR="009A3E2A" w:rsidRPr="009A3E2A" w:rsidRDefault="009A3E2A" w:rsidP="009A3E2A">
                      <w:pPr>
                        <w:rPr>
                          <w:rFonts w:ascii="Arial" w:hAnsi="Arial" w:cs="Arial"/>
                          <w:szCs w:val="22"/>
                        </w:rPr>
                      </w:pPr>
                    </w:p>
                    <w:p w14:paraId="0B17B53F" w14:textId="77777777" w:rsidR="009A3E2A" w:rsidRPr="009A3E2A" w:rsidRDefault="009A3E2A" w:rsidP="009A3E2A">
                      <w:pPr>
                        <w:pStyle w:val="ListParagraph"/>
                        <w:widowControl w:val="0"/>
                        <w:numPr>
                          <w:ilvl w:val="0"/>
                          <w:numId w:val="35"/>
                        </w:numPr>
                        <w:spacing w:line="510" w:lineRule="exact"/>
                        <w:rPr>
                          <w:rFonts w:eastAsia="Times New Roman" w:cs="Arial"/>
                          <w:b/>
                        </w:rPr>
                      </w:pPr>
                      <w:r w:rsidRPr="009A3E2A">
                        <w:rPr>
                          <w:rFonts w:eastAsia="Times New Roman" w:cs="Arial"/>
                          <w:b/>
                        </w:rPr>
                        <w:t xml:space="preserve">Existing materials and advice: </w:t>
                      </w:r>
                    </w:p>
                    <w:p w14:paraId="2790E4C4" w14:textId="77777777" w:rsidR="009A3E2A" w:rsidRPr="00171057" w:rsidRDefault="009A3E2A" w:rsidP="009A3E2A"/>
                    <w:p w14:paraId="7CA4F37D" w14:textId="77777777" w:rsidR="009A3E2A" w:rsidRDefault="009A3E2A" w:rsidP="009A3E2A">
                      <w:pPr>
                        <w:pStyle w:val="ListParagraph"/>
                        <w:numPr>
                          <w:ilvl w:val="0"/>
                          <w:numId w:val="34"/>
                        </w:numPr>
                        <w:spacing w:after="160" w:line="259" w:lineRule="auto"/>
                      </w:pPr>
                      <w:r>
                        <w:t xml:space="preserve">Existing materials on the </w:t>
                      </w:r>
                      <w:hyperlink r:id="rId20" w:history="1"/>
                      <w:r>
                        <w:t xml:space="preserve"> </w:t>
                      </w:r>
                      <w:hyperlink r:id="rId21" w:history="1">
                        <w:r w:rsidRPr="0012311A">
                          <w:rPr>
                            <w:rStyle w:val="Hyperlink"/>
                          </w:rPr>
                          <w:t>LGA Website</w:t>
                        </w:r>
                      </w:hyperlink>
                      <w:r>
                        <w:t xml:space="preserve"> give advice on how to be inclusive and top tips on diversity. There is also a link to the </w:t>
                      </w:r>
                      <w:hyperlink r:id="rId22" w:history="1">
                        <w:r w:rsidRPr="00903228">
                          <w:rPr>
                            <w:rStyle w:val="Hyperlink"/>
                          </w:rPr>
                          <w:t>LGA Equality Framework</w:t>
                        </w:r>
                      </w:hyperlink>
                      <w:r>
                        <w:t xml:space="preserve"> which we think provides an excellent and thorough review and includes workforce within that model. Our team has worked with the Improvement Team to review that this element is still relevant and fit for purpose. </w:t>
                      </w:r>
                    </w:p>
                    <w:p w14:paraId="5F1DFCC4" w14:textId="77777777" w:rsidR="009A3E2A" w:rsidRPr="00454D1A" w:rsidRDefault="009A3E2A" w:rsidP="009A3E2A">
                      <w:pPr>
                        <w:pStyle w:val="ListParagraph"/>
                        <w:numPr>
                          <w:ilvl w:val="0"/>
                          <w:numId w:val="34"/>
                        </w:numPr>
                        <w:spacing w:after="160" w:line="259" w:lineRule="auto"/>
                      </w:pPr>
                      <w:r>
                        <w:t>We also always cover equality issues within our Employment law updates and via the monthly Advisory Bulletin:</w:t>
                      </w:r>
                      <w:r w:rsidRPr="00454D1A">
                        <w:t xml:space="preserve"> </w:t>
                      </w:r>
                      <w:hyperlink r:id="rId23" w:history="1">
                        <w:r w:rsidRPr="00454D1A">
                          <w:rPr>
                            <w:rStyle w:val="Hyperlink"/>
                          </w:rPr>
                          <w:t>employment law FAQs and LGA Workforce guidance</w:t>
                        </w:r>
                      </w:hyperlink>
                      <w:r w:rsidRPr="00454D1A">
                        <w:t xml:space="preserve"> </w:t>
                      </w:r>
                    </w:p>
                    <w:p w14:paraId="1C76DCDF" w14:textId="6ADCB311" w:rsidR="009A3E2A" w:rsidRDefault="009A3E2A" w:rsidP="009A3E2A">
                      <w:pPr>
                        <w:pStyle w:val="ListParagraph"/>
                        <w:numPr>
                          <w:ilvl w:val="0"/>
                          <w:numId w:val="34"/>
                        </w:numPr>
                        <w:spacing w:after="160" w:line="259" w:lineRule="auto"/>
                      </w:pPr>
                      <w:r>
                        <w:t xml:space="preserve">We also promote the </w:t>
                      </w:r>
                      <w:hyperlink r:id="rId24" w:history="1">
                        <w:r w:rsidRPr="00C31010">
                          <w:rPr>
                            <w:rStyle w:val="Hyperlink"/>
                          </w:rPr>
                          <w:t>Race at Work Charter</w:t>
                        </w:r>
                      </w:hyperlink>
                      <w:r>
                        <w:t xml:space="preserve"> developed by Business in the Community which sets out 5 key actions that employers should take. This emerged out of a previous event the team ran with Sandra Kerr from Business in the Community and her slides (still relevant) are on our </w:t>
                      </w:r>
                      <w:hyperlink r:id="rId25" w:history="1">
                        <w:r w:rsidRPr="00D67867">
                          <w:rPr>
                            <w:rStyle w:val="Hyperlink"/>
                          </w:rPr>
                          <w:t>web pages here.</w:t>
                        </w:r>
                      </w:hyperlink>
                      <w:r>
                        <w:t xml:space="preserve"> Th</w:t>
                      </w:r>
                      <w:r w:rsidR="00E676BA">
                        <w:t>is</w:t>
                      </w:r>
                      <w:r>
                        <w:t xml:space="preserve"> provides a practical set of actions</w:t>
                      </w:r>
                      <w:r w:rsidR="00E676BA">
                        <w:t xml:space="preserve"> and reflects the vision local government has for tackling inequalities.</w:t>
                      </w:r>
                    </w:p>
                    <w:p w14:paraId="17041F8C" w14:textId="7C9F30C7" w:rsidR="00F265BC" w:rsidRDefault="00F265BC" w:rsidP="009A3E2A">
                      <w:pPr>
                        <w:pStyle w:val="ListParagraph"/>
                        <w:numPr>
                          <w:ilvl w:val="0"/>
                          <w:numId w:val="34"/>
                        </w:numPr>
                        <w:spacing w:after="160" w:line="259" w:lineRule="auto"/>
                      </w:pPr>
                      <w:r>
                        <w:t>We will continue to work with Cllr Sharon Taylor who is the lead for equalities on the Resources Board, it is our intention to work with Cllr Taylor to produce additional comms such as blogs and articles in support of this work as it progresses.</w:t>
                      </w:r>
                    </w:p>
                    <w:p w14:paraId="021F3BAE" w14:textId="7B717BC6" w:rsidR="00112E9A" w:rsidRPr="00112E9A" w:rsidRDefault="00112E9A" w:rsidP="00112E9A">
                      <w:pPr>
                        <w:pStyle w:val="ListParagraph"/>
                        <w:numPr>
                          <w:ilvl w:val="0"/>
                          <w:numId w:val="34"/>
                        </w:numPr>
                        <w:spacing w:after="160" w:line="259" w:lineRule="auto"/>
                      </w:pPr>
                      <w:r w:rsidRPr="00112E9A">
                        <w:t xml:space="preserve">We will continue our work as part of “The Inclusive Fire Service Group” (IFSG) which is an NJC for Local Authority Fire and Rescue Services led group. Its membership however is wider and includes the National Employers, NFCC, FBU, FOA and the FRSA.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r w:rsidRPr="00112E9A">
                        <w:br/>
                      </w:r>
                    </w:p>
                    <w:p w14:paraId="143AEABF" w14:textId="77777777" w:rsidR="009A3E2A" w:rsidRPr="00276663" w:rsidRDefault="009A3E2A" w:rsidP="00276663">
                      <w:pPr>
                        <w:pStyle w:val="Heading1"/>
                        <w:numPr>
                          <w:ilvl w:val="0"/>
                          <w:numId w:val="35"/>
                        </w:numPr>
                        <w:rPr>
                          <w:rFonts w:ascii="Arial" w:eastAsia="Times New Roman" w:hAnsi="Arial" w:cs="Arial"/>
                          <w:b/>
                          <w:color w:val="auto"/>
                          <w:sz w:val="22"/>
                          <w:szCs w:val="22"/>
                        </w:rPr>
                      </w:pPr>
                      <w:r w:rsidRPr="00276663">
                        <w:rPr>
                          <w:rFonts w:ascii="Arial" w:eastAsia="Times New Roman" w:hAnsi="Arial" w:cs="Arial"/>
                          <w:b/>
                          <w:color w:val="auto"/>
                          <w:sz w:val="22"/>
                          <w:szCs w:val="22"/>
                        </w:rPr>
                        <w:t>Refreshed new materials in a new guide:</w:t>
                      </w:r>
                    </w:p>
                    <w:p w14:paraId="334C4D4C" w14:textId="1FC2A6F9" w:rsidR="009A3E2A" w:rsidRPr="009A3E2A" w:rsidRDefault="009A3E2A" w:rsidP="00276663">
                      <w:pPr>
                        <w:ind w:left="360"/>
                        <w:rPr>
                          <w:rFonts w:ascii="Arial" w:hAnsi="Arial" w:cs="Arial"/>
                          <w:szCs w:val="22"/>
                        </w:rPr>
                      </w:pPr>
                      <w:r w:rsidRPr="009A3E2A">
                        <w:rPr>
                          <w:rFonts w:ascii="Arial" w:hAnsi="Arial" w:cs="Arial"/>
                          <w:szCs w:val="22"/>
                        </w:rPr>
                        <w:t xml:space="preserve">Undertaking this internal review in the current context, we recognised that a lot of our advice was in different places, and </w:t>
                      </w:r>
                      <w:r w:rsidR="00E676BA">
                        <w:rPr>
                          <w:rFonts w:ascii="Arial" w:hAnsi="Arial" w:cs="Arial"/>
                          <w:szCs w:val="22"/>
                        </w:rPr>
                        <w:t>there is a</w:t>
                      </w:r>
                      <w:r w:rsidRPr="009A3E2A">
                        <w:rPr>
                          <w:rFonts w:ascii="Arial" w:hAnsi="Arial" w:cs="Arial"/>
                          <w:szCs w:val="22"/>
                        </w:rPr>
                        <w:t xml:space="preserve"> need for</w:t>
                      </w:r>
                      <w:r w:rsidR="00276663">
                        <w:rPr>
                          <w:rFonts w:ascii="Arial" w:hAnsi="Arial" w:cs="Arial"/>
                          <w:szCs w:val="22"/>
                        </w:rPr>
                        <w:t xml:space="preserve"> easily accessible </w:t>
                      </w:r>
                      <w:r w:rsidRPr="009A3E2A">
                        <w:rPr>
                          <w:rFonts w:ascii="Arial" w:hAnsi="Arial" w:cs="Arial"/>
                          <w:szCs w:val="22"/>
                        </w:rPr>
                        <w:t>information. To that end, we are working at pace to bring together practical advice and guidance specifically to deal</w:t>
                      </w:r>
                      <w:r w:rsidR="0079440E">
                        <w:rPr>
                          <w:rFonts w:ascii="Arial" w:hAnsi="Arial" w:cs="Arial"/>
                          <w:szCs w:val="22"/>
                        </w:rPr>
                        <w:t xml:space="preserve"> specifically</w:t>
                      </w:r>
                      <w:r w:rsidRPr="009A3E2A">
                        <w:rPr>
                          <w:rFonts w:ascii="Arial" w:hAnsi="Arial" w:cs="Arial"/>
                          <w:szCs w:val="22"/>
                        </w:rPr>
                        <w:t xml:space="preserve"> with racial equality in the local government workforce. This guide will cover</w:t>
                      </w:r>
                      <w:r w:rsidR="00E676BA">
                        <w:rPr>
                          <w:rFonts w:ascii="Arial" w:hAnsi="Arial" w:cs="Arial"/>
                          <w:szCs w:val="22"/>
                        </w:rPr>
                        <w:t xml:space="preserve"> issues such as</w:t>
                      </w:r>
                      <w:r w:rsidRPr="009A3E2A">
                        <w:rPr>
                          <w:rFonts w:ascii="Arial" w:hAnsi="Arial" w:cs="Arial"/>
                          <w:szCs w:val="22"/>
                        </w:rPr>
                        <w:t>:</w:t>
                      </w:r>
                      <w:r w:rsidR="0079440E">
                        <w:rPr>
                          <w:rFonts w:ascii="Arial" w:hAnsi="Arial" w:cs="Arial"/>
                          <w:szCs w:val="22"/>
                        </w:rPr>
                        <w:br/>
                      </w:r>
                    </w:p>
                    <w:p w14:paraId="113E2106"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Vision and Inclusive Leadership</w:t>
                      </w:r>
                    </w:p>
                    <w:p w14:paraId="17859070"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The importance of data collection, and the questions you need to be asking about the data</w:t>
                      </w:r>
                    </w:p>
                    <w:p w14:paraId="7A02E76F"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How to engage with employees</w:t>
                      </w:r>
                    </w:p>
                    <w:p w14:paraId="5C7589DB" w14:textId="77777777" w:rsidR="009A3E2A" w:rsidRPr="009A3E2A" w:rsidRDefault="009A3E2A" w:rsidP="009A3E2A">
                      <w:pPr>
                        <w:pStyle w:val="ListParagraph"/>
                        <w:numPr>
                          <w:ilvl w:val="0"/>
                          <w:numId w:val="36"/>
                        </w:numPr>
                        <w:spacing w:after="160" w:line="259" w:lineRule="auto"/>
                        <w:rPr>
                          <w:rFonts w:cs="Arial"/>
                        </w:rPr>
                      </w:pPr>
                      <w:r w:rsidRPr="009A3E2A">
                        <w:rPr>
                          <w:rFonts w:cs="Arial"/>
                        </w:rPr>
                        <w:t>Pros and cons of anonymous recruiting processes, and the recruitment process more widely</w:t>
                      </w:r>
                    </w:p>
                    <w:p w14:paraId="24366C34" w14:textId="77777777" w:rsidR="009A3E2A" w:rsidRPr="009A3E2A" w:rsidRDefault="009A3E2A" w:rsidP="009A3E2A">
                      <w:pPr>
                        <w:pStyle w:val="ListParagraph"/>
                        <w:numPr>
                          <w:ilvl w:val="0"/>
                          <w:numId w:val="37"/>
                        </w:numPr>
                        <w:spacing w:after="160" w:line="259" w:lineRule="auto"/>
                        <w:rPr>
                          <w:rFonts w:cs="Arial"/>
                        </w:rPr>
                      </w:pPr>
                      <w:r w:rsidRPr="009A3E2A">
                        <w:rPr>
                          <w:rFonts w:cs="Arial"/>
                        </w:rPr>
                        <w:t xml:space="preserve">Exploring the </w:t>
                      </w:r>
                      <w:r>
                        <w:rPr>
                          <w:rFonts w:cs="Arial"/>
                        </w:rPr>
                        <w:t xml:space="preserve">effectiveness </w:t>
                      </w:r>
                      <w:r w:rsidRPr="009A3E2A">
                        <w:rPr>
                          <w:rFonts w:cs="Arial"/>
                        </w:rPr>
                        <w:t>of unconscious bias training</w:t>
                      </w:r>
                      <w:r w:rsidR="00E676BA">
                        <w:rPr>
                          <w:rFonts w:cs="Arial"/>
                        </w:rPr>
                        <w:t xml:space="preserve"> and other training options</w:t>
                      </w:r>
                    </w:p>
                    <w:p w14:paraId="56E1D1F8" w14:textId="77777777" w:rsidR="009A3E2A" w:rsidRDefault="009A3E2A" w:rsidP="009A3E2A">
                      <w:pPr>
                        <w:pStyle w:val="ListParagraph"/>
                        <w:numPr>
                          <w:ilvl w:val="0"/>
                          <w:numId w:val="37"/>
                        </w:numPr>
                        <w:spacing w:after="160" w:line="259" w:lineRule="auto"/>
                      </w:pPr>
                      <w:r>
                        <w:t>The link to procurement</w:t>
                      </w:r>
                    </w:p>
                    <w:p w14:paraId="3040F115" w14:textId="77777777" w:rsidR="009A3E2A" w:rsidRDefault="009A3E2A" w:rsidP="009A3E2A">
                      <w:pPr>
                        <w:pStyle w:val="ListParagraph"/>
                        <w:numPr>
                          <w:ilvl w:val="0"/>
                          <w:numId w:val="37"/>
                        </w:numPr>
                        <w:spacing w:after="160" w:line="259" w:lineRule="auto"/>
                      </w:pPr>
                      <w:r>
                        <w:t>The importance of language in the workplace</w:t>
                      </w:r>
                    </w:p>
                    <w:p w14:paraId="466D923D" w14:textId="098C742E" w:rsidR="009A3E2A" w:rsidRDefault="009A3E2A" w:rsidP="009A3E2A">
                      <w:pPr>
                        <w:pStyle w:val="ListParagraph"/>
                        <w:numPr>
                          <w:ilvl w:val="0"/>
                          <w:numId w:val="37"/>
                        </w:numPr>
                        <w:spacing w:after="160" w:line="259" w:lineRule="auto"/>
                      </w:pPr>
                      <w:r>
                        <w:t>Succession planning and career pathways</w:t>
                      </w:r>
                    </w:p>
                    <w:p w14:paraId="748FFF4E" w14:textId="77777777" w:rsidR="009A3E2A" w:rsidRDefault="009A3E2A" w:rsidP="009A3E2A">
                      <w:pPr>
                        <w:pStyle w:val="ListParagraph"/>
                        <w:numPr>
                          <w:ilvl w:val="0"/>
                          <w:numId w:val="37"/>
                        </w:numPr>
                        <w:spacing w:after="160" w:line="259" w:lineRule="auto"/>
                      </w:pPr>
                      <w:r>
                        <w:t>Ethnicity pay gap reporting</w:t>
                      </w:r>
                    </w:p>
                    <w:p w14:paraId="534248AC" w14:textId="77777777" w:rsidR="009A3E2A" w:rsidRPr="009A3E2A" w:rsidRDefault="009A3E2A" w:rsidP="00276663">
                      <w:pPr>
                        <w:pStyle w:val="Heading1"/>
                        <w:ind w:firstLine="360"/>
                        <w:rPr>
                          <w:rFonts w:ascii="Arial" w:eastAsia="Times New Roman" w:hAnsi="Arial" w:cs="Arial"/>
                          <w:b/>
                          <w:color w:val="auto"/>
                          <w:sz w:val="22"/>
                          <w:szCs w:val="22"/>
                        </w:rPr>
                      </w:pPr>
                      <w:r w:rsidRPr="009A3E2A">
                        <w:rPr>
                          <w:rFonts w:ascii="Arial" w:eastAsia="Times New Roman" w:hAnsi="Arial" w:cs="Arial"/>
                          <w:b/>
                          <w:color w:val="auto"/>
                          <w:sz w:val="22"/>
                          <w:szCs w:val="22"/>
                        </w:rPr>
                        <w:t>3) Webinars planned for autumn 2020</w:t>
                      </w:r>
                      <w:r w:rsidR="00276663">
                        <w:rPr>
                          <w:rFonts w:ascii="Arial" w:eastAsia="Times New Roman" w:hAnsi="Arial" w:cs="Arial"/>
                          <w:b/>
                          <w:color w:val="auto"/>
                          <w:sz w:val="22"/>
                          <w:szCs w:val="22"/>
                        </w:rPr>
                        <w:t>:</w:t>
                      </w:r>
                      <w:r>
                        <w:rPr>
                          <w:rFonts w:ascii="Arial" w:eastAsia="Times New Roman" w:hAnsi="Arial" w:cs="Arial"/>
                          <w:b/>
                          <w:color w:val="auto"/>
                          <w:sz w:val="22"/>
                          <w:szCs w:val="22"/>
                        </w:rPr>
                        <w:br/>
                      </w:r>
                    </w:p>
                    <w:p w14:paraId="30EAD9B5" w14:textId="15825C90" w:rsidR="009A3E2A" w:rsidRPr="009A3E2A" w:rsidRDefault="009A3E2A" w:rsidP="009A3E2A">
                      <w:pPr>
                        <w:pStyle w:val="ListParagraph"/>
                        <w:numPr>
                          <w:ilvl w:val="0"/>
                          <w:numId w:val="38"/>
                        </w:numPr>
                        <w:rPr>
                          <w:rFonts w:cs="Arial"/>
                        </w:rPr>
                      </w:pPr>
                      <w:r w:rsidRPr="009A3E2A">
                        <w:rPr>
                          <w:rFonts w:cs="Arial"/>
                          <w:b/>
                        </w:rPr>
                        <w:t>Inclusive Leadership:</w:t>
                      </w:r>
                      <w:r w:rsidRPr="009A3E2A">
                        <w:rPr>
                          <w:rFonts w:cs="Arial"/>
                        </w:rPr>
                        <w:t xml:space="preserve"> originally planned for the LGA conference 2020, we are turn</w:t>
                      </w:r>
                      <w:r w:rsidR="00E676BA">
                        <w:rPr>
                          <w:rFonts w:cs="Arial"/>
                        </w:rPr>
                        <w:t>ing</w:t>
                      </w:r>
                      <w:r w:rsidRPr="009A3E2A">
                        <w:rPr>
                          <w:rFonts w:cs="Arial"/>
                        </w:rPr>
                        <w:t xml:space="preserve"> that session into an online </w:t>
                      </w:r>
                      <w:r w:rsidR="00E676BA">
                        <w:rPr>
                          <w:rFonts w:cs="Arial"/>
                        </w:rPr>
                        <w:t>w</w:t>
                      </w:r>
                      <w:r w:rsidRPr="009A3E2A">
                        <w:rPr>
                          <w:rFonts w:cs="Arial"/>
                        </w:rPr>
                        <w:t>ebinar so that we can share ideas and best practice from around local government on what we mean by inclusive leadership and what that looks like.</w:t>
                      </w:r>
                      <w:r w:rsidR="0079440E">
                        <w:rPr>
                          <w:rFonts w:cs="Arial"/>
                        </w:rPr>
                        <w:br/>
                      </w:r>
                    </w:p>
                    <w:p w14:paraId="3CAECBD2" w14:textId="5CA77C77" w:rsidR="009A3E2A" w:rsidRPr="009A3E2A" w:rsidRDefault="009A3E2A" w:rsidP="009A3E2A">
                      <w:pPr>
                        <w:pStyle w:val="ListParagraph"/>
                        <w:numPr>
                          <w:ilvl w:val="0"/>
                          <w:numId w:val="38"/>
                        </w:numPr>
                        <w:shd w:val="clear" w:color="auto" w:fill="FFFFFF"/>
                        <w:spacing w:before="100" w:beforeAutospacing="1" w:after="100" w:afterAutospacing="1"/>
                        <w:rPr>
                          <w:rFonts w:cs="Arial"/>
                        </w:rPr>
                      </w:pPr>
                      <w:r w:rsidRPr="009A3E2A">
                        <w:rPr>
                          <w:rFonts w:cs="Arial"/>
                          <w:b/>
                        </w:rPr>
                        <w:t>Ethnicity pay gap reporting:</w:t>
                      </w:r>
                      <w:r w:rsidRPr="009A3E2A">
                        <w:rPr>
                          <w:rFonts w:cs="Arial"/>
                        </w:rPr>
                        <w:t xml:space="preserve"> in the way that gender pay gap reporting proved to be a good</w:t>
                      </w:r>
                      <w:r w:rsidR="0079440E">
                        <w:rPr>
                          <w:rFonts w:cs="Arial"/>
                        </w:rPr>
                        <w:t xml:space="preserve"> starting point for conversations about equal pay in the workplace, </w:t>
                      </w:r>
                      <w:r w:rsidRPr="009A3E2A">
                        <w:rPr>
                          <w:rFonts w:cs="Arial"/>
                        </w:rPr>
                        <w:t xml:space="preserve">ethnicity pay gap reporting could enable </w:t>
                      </w:r>
                      <w:r w:rsidR="00E676BA">
                        <w:rPr>
                          <w:rFonts w:cs="Arial"/>
                        </w:rPr>
                        <w:t>a similar</w:t>
                      </w:r>
                      <w:r w:rsidRPr="009A3E2A">
                        <w:rPr>
                          <w:rFonts w:cs="Arial"/>
                        </w:rPr>
                        <w:t xml:space="preserve"> conversation </w:t>
                      </w:r>
                      <w:r w:rsidR="00E676BA">
                        <w:rPr>
                          <w:rFonts w:cs="Arial"/>
                        </w:rPr>
                        <w:t>around</w:t>
                      </w:r>
                      <w:r w:rsidRPr="009A3E2A">
                        <w:rPr>
                          <w:rFonts w:cs="Arial"/>
                        </w:rPr>
                        <w:t xml:space="preserve"> race. </w:t>
                      </w:r>
                      <w:r w:rsidR="0079440E">
                        <w:rPr>
                          <w:rFonts w:cs="Arial"/>
                        </w:rPr>
                        <w:t xml:space="preserve">This tool is by no means </w:t>
                      </w:r>
                      <w:r w:rsidR="00276663">
                        <w:rPr>
                          <w:rFonts w:cs="Arial"/>
                        </w:rPr>
                        <w:t>perfect but</w:t>
                      </w:r>
                      <w:r w:rsidR="0079440E">
                        <w:rPr>
                          <w:rFonts w:cs="Arial"/>
                        </w:rPr>
                        <w:t xml:space="preserve"> can provide a useful snap shot of </w:t>
                      </w:r>
                      <w:r w:rsidR="00E676BA">
                        <w:rPr>
                          <w:rFonts w:cs="Arial"/>
                        </w:rPr>
                        <w:t xml:space="preserve">for </w:t>
                      </w:r>
                      <w:r w:rsidR="0079440E">
                        <w:rPr>
                          <w:rFonts w:cs="Arial"/>
                        </w:rPr>
                        <w:t xml:space="preserve">an organisation. </w:t>
                      </w:r>
                      <w:r w:rsidRPr="009A3E2A">
                        <w:rPr>
                          <w:rFonts w:cs="Arial"/>
                        </w:rPr>
                        <w:t>Followi</w:t>
                      </w:r>
                      <w:r w:rsidR="0079440E">
                        <w:rPr>
                          <w:rFonts w:cs="Arial"/>
                        </w:rPr>
                        <w:t xml:space="preserve">ng </w:t>
                      </w:r>
                      <w:r w:rsidRPr="009A3E2A">
                        <w:rPr>
                          <w:rFonts w:cs="Arial"/>
                        </w:rPr>
                        <w:t>consultation in 2019</w:t>
                      </w:r>
                      <w:r w:rsidR="00E676BA">
                        <w:rPr>
                          <w:rFonts w:cs="Arial"/>
                        </w:rPr>
                        <w:t>,</w:t>
                      </w:r>
                      <w:r w:rsidRPr="009A3E2A">
                        <w:rPr>
                          <w:rFonts w:cs="Arial"/>
                        </w:rPr>
                        <w:t xml:space="preserve"> </w:t>
                      </w:r>
                      <w:r w:rsidR="0079440E">
                        <w:rPr>
                          <w:rFonts w:cs="Arial"/>
                        </w:rPr>
                        <w:t xml:space="preserve">the government </w:t>
                      </w:r>
                      <w:r w:rsidRPr="009A3E2A">
                        <w:rPr>
                          <w:rFonts w:cs="Arial"/>
                        </w:rPr>
                        <w:t>decided not to make ethnicity pay gap reporting mandatory</w:t>
                      </w:r>
                      <w:r w:rsidR="0079440E">
                        <w:rPr>
                          <w:rFonts w:cs="Arial"/>
                        </w:rPr>
                        <w:t>,</w:t>
                      </w:r>
                      <w:r w:rsidRPr="009A3E2A">
                        <w:rPr>
                          <w:rFonts w:cs="Arial"/>
                        </w:rPr>
                        <w:t xml:space="preserve"> but this</w:t>
                      </w:r>
                      <w:r w:rsidR="0079440E">
                        <w:rPr>
                          <w:rFonts w:cs="Arial"/>
                        </w:rPr>
                        <w:t xml:space="preserve"> issue </w:t>
                      </w:r>
                      <w:r w:rsidR="00E676BA">
                        <w:rPr>
                          <w:rFonts w:cs="Arial"/>
                        </w:rPr>
                        <w:t xml:space="preserve">may well </w:t>
                      </w:r>
                      <w:r w:rsidR="0079440E">
                        <w:rPr>
                          <w:rFonts w:cs="Arial"/>
                        </w:rPr>
                        <w:t xml:space="preserve">return to the agenda. </w:t>
                      </w:r>
                      <w:r w:rsidRPr="009A3E2A">
                        <w:rPr>
                          <w:rFonts w:cs="Arial"/>
                        </w:rPr>
                        <w:t>In any case, there are plenty of arguments to encourage local authorities to voluntarily start reporting the</w:t>
                      </w:r>
                      <w:r w:rsidR="0079440E">
                        <w:rPr>
                          <w:rFonts w:cs="Arial"/>
                        </w:rPr>
                        <w:t>ir</w:t>
                      </w:r>
                      <w:r w:rsidRPr="009A3E2A">
                        <w:rPr>
                          <w:rFonts w:cs="Arial"/>
                        </w:rPr>
                        <w:t xml:space="preserve"> ethnicity gap (</w:t>
                      </w:r>
                      <w:r w:rsidR="0079440E">
                        <w:rPr>
                          <w:rFonts w:cs="Arial"/>
                        </w:rPr>
                        <w:t xml:space="preserve">which some already do, </w:t>
                      </w:r>
                      <w:r w:rsidRPr="009A3E2A">
                        <w:rPr>
                          <w:rFonts w:cs="Arial"/>
                        </w:rPr>
                        <w:t xml:space="preserve">for example the London Borough of Croydon). This article in </w:t>
                      </w:r>
                      <w:hyperlink r:id="rId26" w:history="1">
                        <w:r w:rsidRPr="009A3E2A">
                          <w:rPr>
                            <w:rStyle w:val="Hyperlink"/>
                            <w:rFonts w:cs="Arial"/>
                          </w:rPr>
                          <w:t>Personnel Today</w:t>
                        </w:r>
                      </w:hyperlink>
                      <w:r w:rsidRPr="009A3E2A">
                        <w:rPr>
                          <w:rFonts w:cs="Arial"/>
                        </w:rPr>
                        <w:t xml:space="preserve"> encourages employers not to wait for the legislation, and to start having a conversation with employees about why this data collection is important. </w:t>
                      </w:r>
                    </w:p>
                    <w:p w14:paraId="18CE13AE" w14:textId="77777777" w:rsidR="009A3E2A" w:rsidRPr="009A3E2A" w:rsidRDefault="009A3E2A" w:rsidP="00276663">
                      <w:pPr>
                        <w:pStyle w:val="Heading1"/>
                        <w:ind w:firstLine="360"/>
                        <w:rPr>
                          <w:rFonts w:ascii="Arial" w:eastAsia="Times New Roman" w:hAnsi="Arial" w:cs="Arial"/>
                          <w:b/>
                          <w:color w:val="auto"/>
                          <w:sz w:val="22"/>
                          <w:szCs w:val="22"/>
                        </w:rPr>
                      </w:pPr>
                      <w:r w:rsidRPr="009A3E2A">
                        <w:rPr>
                          <w:rFonts w:ascii="Arial" w:eastAsia="Times New Roman" w:hAnsi="Arial" w:cs="Arial"/>
                          <w:b/>
                          <w:color w:val="auto"/>
                          <w:sz w:val="22"/>
                          <w:szCs w:val="22"/>
                        </w:rPr>
                        <w:t>4) Reviewing the McGregor-Smith recommendations</w:t>
                      </w:r>
                      <w:r w:rsidR="00276663">
                        <w:rPr>
                          <w:rFonts w:ascii="Arial" w:eastAsia="Times New Roman" w:hAnsi="Arial" w:cs="Arial"/>
                          <w:b/>
                          <w:color w:val="auto"/>
                          <w:sz w:val="22"/>
                          <w:szCs w:val="22"/>
                        </w:rPr>
                        <w:t>:</w:t>
                      </w:r>
                    </w:p>
                    <w:p w14:paraId="34D5AC44" w14:textId="77777777" w:rsidR="009A3E2A" w:rsidRPr="009A3E2A" w:rsidRDefault="0079440E" w:rsidP="00276663">
                      <w:pPr>
                        <w:shd w:val="clear" w:color="auto" w:fill="FFFFFF"/>
                        <w:spacing w:before="100" w:beforeAutospacing="1" w:after="100" w:afterAutospacing="1"/>
                        <w:ind w:left="360"/>
                        <w:rPr>
                          <w:rFonts w:ascii="Arial" w:hAnsi="Arial" w:cs="Arial"/>
                        </w:rPr>
                      </w:pPr>
                      <w:r>
                        <w:rPr>
                          <w:rFonts w:ascii="Arial" w:hAnsi="Arial" w:cs="Arial"/>
                        </w:rPr>
                        <w:t>The</w:t>
                      </w:r>
                      <w:r w:rsidR="009A3E2A" w:rsidRPr="009A3E2A">
                        <w:rPr>
                          <w:rFonts w:ascii="Arial" w:hAnsi="Arial" w:cs="Arial"/>
                        </w:rPr>
                        <w:t xml:space="preserve"> </w:t>
                      </w:r>
                      <w:hyperlink r:id="rId27" w:history="1">
                        <w:r w:rsidR="009A3E2A" w:rsidRPr="009A3E2A">
                          <w:rPr>
                            <w:rStyle w:val="Hyperlink"/>
                            <w:rFonts w:ascii="Arial" w:hAnsi="Arial" w:cs="Arial"/>
                          </w:rPr>
                          <w:t>2017 independent</w:t>
                        </w:r>
                      </w:hyperlink>
                      <w:r w:rsidR="009A3E2A" w:rsidRPr="009A3E2A">
                        <w:rPr>
                          <w:rFonts w:ascii="Arial" w:hAnsi="Arial" w:cs="Arial"/>
                        </w:rPr>
                        <w:t xml:space="preserve"> report written by Baroness McGregor-Smith considering the issues affecting black and minority ethnic groups in the workplace</w:t>
                      </w:r>
                      <w:r>
                        <w:rPr>
                          <w:rFonts w:ascii="Arial" w:hAnsi="Arial" w:cs="Arial"/>
                        </w:rPr>
                        <w:t xml:space="preserve"> </w:t>
                      </w:r>
                      <w:r w:rsidR="009A3E2A" w:rsidRPr="009A3E2A">
                        <w:rPr>
                          <w:rFonts w:ascii="Arial" w:hAnsi="Arial" w:cs="Arial"/>
                        </w:rPr>
                        <w:t xml:space="preserve">contained 30 recommendations which we intend to re-review and ensure we have captured all the learning from that report.  </w:t>
                      </w:r>
                    </w:p>
                    <w:p w14:paraId="043E6D12" w14:textId="77777777" w:rsidR="009A3E2A" w:rsidRDefault="009A3E2A" w:rsidP="00276663">
                      <w:pPr>
                        <w:pStyle w:val="Heading1"/>
                        <w:ind w:firstLine="360"/>
                      </w:pPr>
                      <w:r w:rsidRPr="009A3E2A">
                        <w:rPr>
                          <w:rFonts w:ascii="Arial" w:eastAsia="Times New Roman" w:hAnsi="Arial" w:cs="Arial"/>
                          <w:b/>
                          <w:color w:val="auto"/>
                          <w:sz w:val="22"/>
                          <w:szCs w:val="22"/>
                        </w:rPr>
                        <w:t>5. Reviewing Equality Impact Assessments</w:t>
                      </w:r>
                      <w:r w:rsidR="00276663">
                        <w:rPr>
                          <w:rFonts w:ascii="Arial" w:eastAsia="Times New Roman" w:hAnsi="Arial" w:cs="Arial"/>
                          <w:b/>
                          <w:color w:val="auto"/>
                          <w:sz w:val="22"/>
                          <w:szCs w:val="22"/>
                        </w:rPr>
                        <w:t>:</w:t>
                      </w:r>
                    </w:p>
                    <w:p w14:paraId="69EB0023" w14:textId="08E103A0" w:rsidR="009A3E2A" w:rsidRPr="009A3E2A" w:rsidRDefault="009A3E2A" w:rsidP="00276663">
                      <w:pPr>
                        <w:shd w:val="clear" w:color="auto" w:fill="FFFFFF"/>
                        <w:spacing w:before="100" w:beforeAutospacing="1" w:after="100" w:afterAutospacing="1"/>
                        <w:ind w:left="360"/>
                        <w:rPr>
                          <w:rFonts w:ascii="Arial" w:hAnsi="Arial" w:cs="Arial"/>
                        </w:rPr>
                      </w:pPr>
                      <w:r w:rsidRPr="009A3E2A">
                        <w:rPr>
                          <w:rFonts w:ascii="Arial" w:hAnsi="Arial" w:cs="Arial"/>
                        </w:rPr>
                        <w:t xml:space="preserve">There is a </w:t>
                      </w:r>
                      <w:r w:rsidR="00E676BA">
                        <w:rPr>
                          <w:rFonts w:ascii="Arial" w:hAnsi="Arial" w:cs="Arial"/>
                        </w:rPr>
                        <w:t xml:space="preserve">view </w:t>
                      </w:r>
                      <w:r w:rsidRPr="009A3E2A">
                        <w:rPr>
                          <w:rFonts w:ascii="Arial" w:hAnsi="Arial" w:cs="Arial"/>
                        </w:rPr>
                        <w:t xml:space="preserve">that </w:t>
                      </w:r>
                      <w:r w:rsidR="00E676BA">
                        <w:rPr>
                          <w:rFonts w:ascii="Arial" w:hAnsi="Arial" w:cs="Arial"/>
                        </w:rPr>
                        <w:t xml:space="preserve">in some areas </w:t>
                      </w:r>
                      <w:r w:rsidRPr="009A3E2A">
                        <w:rPr>
                          <w:rFonts w:ascii="Arial" w:hAnsi="Arial" w:cs="Arial"/>
                        </w:rPr>
                        <w:t>equality impact assessments have become a tick-box exercise and something to get through, rather than being something that can add value or provide effective support to workforce planning. It</w:t>
                      </w:r>
                      <w:r w:rsidR="0079440E">
                        <w:rPr>
                          <w:rFonts w:ascii="Arial" w:hAnsi="Arial" w:cs="Arial"/>
                        </w:rPr>
                        <w:t xml:space="preserve"> is</w:t>
                      </w:r>
                      <w:r w:rsidRPr="009A3E2A">
                        <w:rPr>
                          <w:rFonts w:ascii="Arial" w:hAnsi="Arial" w:cs="Arial"/>
                        </w:rPr>
                        <w:t xml:space="preserve"> our intention to develop a piece of work to make that public duty more meaningful, better understood – and a more positive tool for </w:t>
                      </w:r>
                      <w:r w:rsidR="00E676BA">
                        <w:rPr>
                          <w:rFonts w:ascii="Arial" w:hAnsi="Arial" w:cs="Arial"/>
                        </w:rPr>
                        <w:t>employers</w:t>
                      </w:r>
                      <w:r w:rsidRPr="009A3E2A">
                        <w:rPr>
                          <w:rFonts w:ascii="Arial" w:hAnsi="Arial" w:cs="Arial"/>
                        </w:rPr>
                        <w:t xml:space="preserve"> to access. </w:t>
                      </w:r>
                    </w:p>
                    <w:p w14:paraId="77712C2F" w14:textId="77777777" w:rsidR="009A3E2A" w:rsidRDefault="009A3E2A" w:rsidP="009A3E2A">
                      <w:pPr>
                        <w:shd w:val="clear" w:color="auto" w:fill="FFFFFF"/>
                        <w:spacing w:before="100" w:beforeAutospacing="1" w:after="100" w:afterAutospacing="1"/>
                      </w:pPr>
                    </w:p>
                    <w:p w14:paraId="10C409B9" w14:textId="77777777" w:rsidR="009A3E2A" w:rsidRPr="00455A05" w:rsidRDefault="009A3E2A" w:rsidP="009A3E2A">
                      <w:pPr>
                        <w:pStyle w:val="ListParagraph"/>
                        <w:rPr>
                          <w:i/>
                        </w:rPr>
                      </w:pPr>
                    </w:p>
                    <w:p w14:paraId="4BB5BB7F" w14:textId="77777777" w:rsidR="007D6682" w:rsidRPr="00F54F92" w:rsidRDefault="007D6682" w:rsidP="00905BB1">
                      <w:pPr>
                        <w:rPr>
                          <w:rFonts w:ascii="Arial" w:hAnsi="Arial" w:cs="Arial"/>
                          <w:szCs w:val="22"/>
                        </w:rPr>
                      </w:pPr>
                    </w:p>
                  </w:txbxContent>
                </v:textbox>
                <w10:wrap type="square" anchorx="page" anchory="page"/>
              </v:shape>
            </w:pict>
          </mc:Fallback>
        </mc:AlternateContent>
      </w:r>
    </w:p>
    <w:p w14:paraId="6E8D0499" w14:textId="77777777" w:rsidR="009E3E52" w:rsidRPr="009E3E52" w:rsidRDefault="009E3E52" w:rsidP="009E3E52"/>
    <w:p w14:paraId="32F643F7" w14:textId="77777777" w:rsidR="009E3E52" w:rsidRPr="009E3E52" w:rsidRDefault="009E3E52" w:rsidP="009E3E52"/>
    <w:p w14:paraId="2C9A213D" w14:textId="77777777" w:rsidR="009E3E52" w:rsidRPr="009E3E52" w:rsidRDefault="009E3E52" w:rsidP="009E3E52"/>
    <w:p w14:paraId="2FF9F814" w14:textId="77777777" w:rsidR="009E3E52" w:rsidRPr="009E3E52" w:rsidRDefault="009E3E52" w:rsidP="009E3E52"/>
    <w:p w14:paraId="23AEE5B8" w14:textId="77777777" w:rsidR="009E3E52" w:rsidRPr="009E3E52" w:rsidRDefault="009E3E52" w:rsidP="009E3E52"/>
    <w:p w14:paraId="07AF7E24" w14:textId="77777777" w:rsidR="009E3E52" w:rsidRPr="009E3E52" w:rsidRDefault="009E3E52" w:rsidP="009E3E52"/>
    <w:p w14:paraId="7286EAB1" w14:textId="77777777" w:rsidR="009E3E52" w:rsidRPr="009E3E52" w:rsidRDefault="009E3E52" w:rsidP="009E3E52"/>
    <w:p w14:paraId="3CE66A4F" w14:textId="77777777" w:rsidR="009E3E52" w:rsidRPr="009E3E52" w:rsidRDefault="009E3E52" w:rsidP="009E3E52"/>
    <w:p w14:paraId="6E8922A7" w14:textId="77777777" w:rsidR="009E3E52" w:rsidRPr="009E3E52" w:rsidRDefault="009E3E52" w:rsidP="009E3E52"/>
    <w:p w14:paraId="1E034539" w14:textId="77777777" w:rsidR="009E3E52" w:rsidRPr="009E3E52" w:rsidRDefault="009E3E52" w:rsidP="009E3E52"/>
    <w:p w14:paraId="7E836C8D" w14:textId="77777777" w:rsidR="009E3E52" w:rsidRPr="009E3E52" w:rsidRDefault="009E3E52" w:rsidP="009E3E52"/>
    <w:p w14:paraId="12E85D0E" w14:textId="77777777" w:rsidR="009E3E52" w:rsidRPr="009E3E52" w:rsidRDefault="009E3E52" w:rsidP="009E3E52"/>
    <w:p w14:paraId="77469110" w14:textId="77777777" w:rsidR="009E3E52" w:rsidRPr="009E3E52" w:rsidRDefault="009E3E52" w:rsidP="009E3E52"/>
    <w:p w14:paraId="69380EBE" w14:textId="77777777" w:rsidR="009E3E52" w:rsidRPr="009E3E52" w:rsidRDefault="009E3E52" w:rsidP="009E3E52"/>
    <w:p w14:paraId="269A79A6" w14:textId="77777777" w:rsidR="009E3E52" w:rsidRPr="009E3E52" w:rsidRDefault="009E3E52" w:rsidP="009E3E52"/>
    <w:p w14:paraId="0F399AFE" w14:textId="77777777" w:rsidR="009E3E52" w:rsidRPr="009E3E52" w:rsidRDefault="009E3E52" w:rsidP="009E3E52"/>
    <w:p w14:paraId="2FFBB2E7" w14:textId="77777777" w:rsidR="009E3E52" w:rsidRPr="009E3E52" w:rsidRDefault="009E3E52" w:rsidP="009E3E52"/>
    <w:p w14:paraId="660B1D56" w14:textId="77777777" w:rsidR="009E3E52" w:rsidRPr="009E3E52" w:rsidRDefault="009E3E52" w:rsidP="009E3E52"/>
    <w:p w14:paraId="537148C7" w14:textId="77777777" w:rsidR="009E3E52" w:rsidRPr="009E3E52" w:rsidRDefault="009E3E52" w:rsidP="009E3E52"/>
    <w:p w14:paraId="3C01E0A5" w14:textId="77777777" w:rsidR="009E3E52" w:rsidRPr="009E3E52" w:rsidRDefault="009E3E52" w:rsidP="009E3E52"/>
    <w:p w14:paraId="2F13F86D" w14:textId="77777777" w:rsidR="009E3E52" w:rsidRPr="009E3E52" w:rsidRDefault="009E3E52" w:rsidP="009E3E52"/>
    <w:p w14:paraId="2C2E4950" w14:textId="77777777" w:rsidR="009E3E52" w:rsidRPr="009E3E52" w:rsidRDefault="009E3E52" w:rsidP="009E3E52"/>
    <w:p w14:paraId="06BF4221" w14:textId="77777777" w:rsidR="009E3E52" w:rsidRPr="009E3E52" w:rsidRDefault="009E3E52" w:rsidP="009E3E52"/>
    <w:p w14:paraId="7258AB13" w14:textId="77777777" w:rsidR="009E3E52" w:rsidRPr="009E3E52" w:rsidRDefault="009E3E52" w:rsidP="009E3E52"/>
    <w:p w14:paraId="4EA7F5DB" w14:textId="77777777" w:rsidR="009E3E52" w:rsidRPr="009E3E52" w:rsidRDefault="009E3E52" w:rsidP="009E3E52"/>
    <w:p w14:paraId="1C8FB970" w14:textId="77777777" w:rsidR="009E3E52" w:rsidRPr="009E3E52" w:rsidRDefault="009E3E52" w:rsidP="009E3E52"/>
    <w:p w14:paraId="50C9C039" w14:textId="77777777" w:rsidR="009E3E52" w:rsidRPr="009E3E52" w:rsidRDefault="009E3E52" w:rsidP="009E3E52"/>
    <w:p w14:paraId="66E02FEF" w14:textId="77777777" w:rsidR="009E3E52" w:rsidRPr="009E3E52" w:rsidRDefault="009E3E52" w:rsidP="009E3E52"/>
    <w:p w14:paraId="419BCCE0" w14:textId="77777777" w:rsidR="009E3E52" w:rsidRPr="009E3E52" w:rsidRDefault="009E3E52" w:rsidP="009E3E52"/>
    <w:p w14:paraId="110F7A2E" w14:textId="77777777" w:rsidR="009E3E52" w:rsidRPr="009E3E52" w:rsidRDefault="009E3E52" w:rsidP="009E3E52"/>
    <w:p w14:paraId="19CEF128" w14:textId="77777777" w:rsidR="009E3E52" w:rsidRPr="009E3E52" w:rsidRDefault="009E3E52" w:rsidP="009E3E52"/>
    <w:p w14:paraId="33065915" w14:textId="77777777" w:rsidR="009E3E52" w:rsidRPr="009E3E52" w:rsidRDefault="009E3E52" w:rsidP="009E3E52"/>
    <w:p w14:paraId="15945465" w14:textId="77777777" w:rsidR="009E3E52" w:rsidRPr="009E3E52" w:rsidRDefault="009E3E52" w:rsidP="009E3E52"/>
    <w:p w14:paraId="76767164" w14:textId="77777777" w:rsidR="009E3E52" w:rsidRPr="009E3E52" w:rsidRDefault="009E3E52" w:rsidP="009E3E52"/>
    <w:p w14:paraId="38E90D34" w14:textId="77777777" w:rsidR="009E3E52" w:rsidRPr="009E3E52" w:rsidRDefault="009E3E52" w:rsidP="009E3E52"/>
    <w:p w14:paraId="5FAC51BD" w14:textId="77777777" w:rsidR="009E3E52" w:rsidRPr="009E3E52" w:rsidRDefault="009E3E52" w:rsidP="009E3E52"/>
    <w:p w14:paraId="70C8B54B" w14:textId="77777777" w:rsidR="009E3E52" w:rsidRPr="009E3E52" w:rsidRDefault="009E3E52" w:rsidP="009E3E52"/>
    <w:p w14:paraId="5EE00531" w14:textId="77777777" w:rsidR="009E3E52" w:rsidRPr="009E3E52" w:rsidRDefault="009E3E52" w:rsidP="009E3E52"/>
    <w:p w14:paraId="533407E2" w14:textId="77777777" w:rsidR="009E3E52" w:rsidRPr="009E3E52" w:rsidRDefault="009E3E52" w:rsidP="009E3E52"/>
    <w:p w14:paraId="0E1F5633" w14:textId="77777777" w:rsidR="009E3E52" w:rsidRPr="009E3E52" w:rsidRDefault="009E3E52" w:rsidP="009E3E52"/>
    <w:p w14:paraId="633AA7FC" w14:textId="77777777" w:rsidR="009E3E52" w:rsidRPr="009E3E52" w:rsidRDefault="009E3E52" w:rsidP="009E3E52"/>
    <w:p w14:paraId="5C4B56FF" w14:textId="77777777" w:rsidR="009E3E52" w:rsidRPr="009E3E52" w:rsidRDefault="009E3E52" w:rsidP="009E3E52"/>
    <w:p w14:paraId="5155566B" w14:textId="77777777" w:rsidR="009E3E52" w:rsidRPr="009E3E52" w:rsidRDefault="009E3E52" w:rsidP="009E3E52"/>
    <w:p w14:paraId="51E12248" w14:textId="77777777" w:rsidR="009E3E52" w:rsidRPr="009E3E52" w:rsidRDefault="009E3E52" w:rsidP="009E3E52"/>
    <w:p w14:paraId="44ED1513" w14:textId="77777777" w:rsidR="009E3E52" w:rsidRPr="009E3E52" w:rsidRDefault="009E3E52" w:rsidP="009E3E52"/>
    <w:p w14:paraId="564E497A" w14:textId="77777777" w:rsidR="009E3E52" w:rsidRPr="009E3E52" w:rsidRDefault="009E3E52" w:rsidP="009E3E52"/>
    <w:p w14:paraId="1465A36A" w14:textId="77777777" w:rsidR="009E3E52" w:rsidRPr="009E3E52" w:rsidRDefault="009E3E52" w:rsidP="009E3E52"/>
    <w:p w14:paraId="1A3AE809" w14:textId="77777777" w:rsidR="009E3E52" w:rsidRDefault="009E3E52" w:rsidP="009E3E52"/>
    <w:p w14:paraId="60E46288" w14:textId="77777777" w:rsidR="00153423" w:rsidRDefault="009E3E52" w:rsidP="009E3E52">
      <w:pPr>
        <w:tabs>
          <w:tab w:val="left" w:pos="7291"/>
        </w:tabs>
      </w:pPr>
      <w:r>
        <w:tab/>
      </w:r>
    </w:p>
    <w:p w14:paraId="34A4DD43" w14:textId="77777777" w:rsidR="00153423" w:rsidRDefault="00153423" w:rsidP="005F35B6">
      <w:r>
        <w:rPr>
          <w:noProof/>
          <w:lang w:val="en-US"/>
        </w:rPr>
        <mc:AlternateContent>
          <mc:Choice Requires="wps">
            <w:drawing>
              <wp:anchor distT="0" distB="0" distL="114300" distR="114300" simplePos="0" relativeHeight="251669504" behindDoc="0" locked="0" layoutInCell="1" allowOverlap="1" wp14:anchorId="2544A185" wp14:editId="2544A186">
                <wp:simplePos x="0" y="0"/>
                <wp:positionH relativeFrom="page">
                  <wp:posOffset>800100</wp:posOffset>
                </wp:positionH>
                <wp:positionV relativeFrom="page">
                  <wp:posOffset>1260475</wp:posOffset>
                </wp:positionV>
                <wp:extent cx="5829300" cy="822642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8226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A185" id="Text Box 12" o:spid="_x0000_s1028" type="#_x0000_t202" style="position:absolute;margin-left:63pt;margin-top:99.25pt;width:459pt;height:64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" filled="f" stroked="f">
                <v:textbox style="mso-next-textbox:#Text Box 1">
                  <w:txbxContent/>
                </v:textbox>
                <w10:wrap type="square" anchorx="page" anchory="page"/>
              </v:shape>
            </w:pict>
          </mc:Fallback>
        </mc:AlternateContent>
      </w:r>
      <w:r>
        <w:br w:type="page"/>
      </w:r>
    </w:p>
    <w:p w14:paraId="33C935B9" w14:textId="77777777" w:rsidR="00F86C57" w:rsidRPr="009E3E52" w:rsidRDefault="005F35B6" w:rsidP="009E3E52">
      <w:pPr>
        <w:tabs>
          <w:tab w:val="left" w:pos="7291"/>
        </w:tabs>
      </w:pPr>
      <w:r>
        <w:rPr>
          <w:noProof/>
          <w:lang w:val="en-US"/>
        </w:rPr>
        <w:lastRenderedPageBreak/>
        <mc:AlternateContent>
          <mc:Choice Requires="wps">
            <w:drawing>
              <wp:anchor distT="0" distB="0" distL="114300" distR="114300" simplePos="0" relativeHeight="251671552" behindDoc="0" locked="0" layoutInCell="1" allowOverlap="1" wp14:anchorId="2544A187" wp14:editId="2544A188">
                <wp:simplePos x="0" y="0"/>
                <wp:positionH relativeFrom="page">
                  <wp:posOffset>914400</wp:posOffset>
                </wp:positionH>
                <wp:positionV relativeFrom="page">
                  <wp:posOffset>1260475</wp:posOffset>
                </wp:positionV>
                <wp:extent cx="5829300" cy="82264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8226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A187" id="Text Box 1" o:spid="_x0000_s1029" type="#_x0000_t202" style="position:absolute;margin-left:1in;margin-top:99.25pt;width:459pt;height:647.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" filled="f" stroked="f">
                <v:textbox>
                  <w:txbxContent/>
                </v:textbox>
                <w10:wrap type="square" anchorx="page" anchory="page"/>
              </v:shape>
            </w:pict>
          </mc:Fallback>
        </mc:AlternateContent>
      </w:r>
    </w:p>
    <w:sectPr w:rsidR="00F86C57" w:rsidRPr="009E3E52" w:rsidSect="009E3E52">
      <w:footerReference w:type="even" r:id="rId28"/>
      <w:footerReference w:type="default" r:id="rId29"/>
      <w:pgSz w:w="11900" w:h="16840"/>
      <w:pgMar w:top="0" w:right="0" w:bottom="0" w:left="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E193" w14:textId="77777777" w:rsidR="00F478A9" w:rsidRDefault="00F478A9" w:rsidP="007A3157">
      <w:r>
        <w:separator/>
      </w:r>
    </w:p>
  </w:endnote>
  <w:endnote w:type="continuationSeparator" w:id="0">
    <w:p w14:paraId="7ED4AFD4" w14:textId="77777777" w:rsidR="00F478A9" w:rsidRDefault="00F478A9"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2387" w14:textId="77777777" w:rsidR="007D6682" w:rsidRDefault="007D6682"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sidR="008B5701">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sidR="008B5701">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614CC49D" w14:textId="77777777" w:rsidR="008B5701" w:rsidRDefault="008B5701" w:rsidP="00153423">
    <w:pPr>
      <w:pStyle w:val="Footer"/>
      <w:ind w:left="1560"/>
      <w:rPr>
        <w:rFonts w:ascii="Arial" w:hAnsi="Arial" w:cs="Times New Roman"/>
        <w:b/>
        <w:color w:val="BFBFBF" w:themeColor="background1" w:themeShade="BF"/>
        <w:szCs w:val="22"/>
        <w:lang w:val="en-US"/>
      </w:rPr>
    </w:pPr>
  </w:p>
  <w:p w14:paraId="591F9B51" w14:textId="77777777" w:rsidR="008B5701" w:rsidRPr="00301A62" w:rsidRDefault="008B5701" w:rsidP="008B5701">
    <w:pPr>
      <w:widowControl w:val="0"/>
      <w:spacing w:line="220" w:lineRule="exact"/>
      <w:ind w:left="567" w:right="-852"/>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sidRPr="00E86432">
      <w:rPr>
        <w:rFonts w:ascii="Arial" w:eastAsia="Times New Roman" w:hAnsi="Arial" w:cs="Arial"/>
        <w:sz w:val="16"/>
        <w:szCs w:val="16"/>
      </w:rPr>
      <w:t>  Improvement and Development Agency for Local Government company number 03675577</w:t>
    </w:r>
  </w:p>
  <w:p w14:paraId="2C965BED" w14:textId="77777777" w:rsidR="008B5701" w:rsidRDefault="008B5701" w:rsidP="00153423">
    <w:pPr>
      <w:pStyle w:val="Footer"/>
      <w:ind w:left="1560"/>
      <w:rPr>
        <w:rFonts w:ascii="Arial" w:hAnsi="Arial" w:cs="Times New Roman"/>
        <w:b/>
        <w:color w:val="BFBFBF" w:themeColor="background1" w:themeShade="BF"/>
        <w:szCs w:val="22"/>
        <w:lang w:val="en-US"/>
      </w:rPr>
    </w:pPr>
  </w:p>
  <w:p w14:paraId="1F516359" w14:textId="77777777" w:rsidR="007D6682" w:rsidRPr="00153423" w:rsidRDefault="007D6682"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534E" w14:textId="00B29500" w:rsidR="008B5701" w:rsidRDefault="007D6682" w:rsidP="007F28E6">
    <w:pPr>
      <w:pStyle w:val="Footer"/>
      <w:tabs>
        <w:tab w:val="clear" w:pos="8640"/>
        <w:tab w:val="right" w:pos="10490"/>
      </w:tabs>
      <w:ind w:left="1418"/>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sidR="008B5701">
      <w:rPr>
        <w:rFonts w:ascii="Arial" w:hAnsi="Arial" w:cs="Times New Roman"/>
        <w:b/>
        <w:noProof/>
        <w:color w:val="BFBFBF" w:themeColor="background1" w:themeShade="BF"/>
        <w:szCs w:val="22"/>
        <w:lang w:val="en-US"/>
      </w:rPr>
      <w:t>1</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sidR="008B5701">
      <w:rPr>
        <w:rFonts w:ascii="Arial" w:hAnsi="Arial" w:cs="Times New Roman"/>
        <w:b/>
        <w:noProof/>
        <w:color w:val="BFBFBF" w:themeColor="background1" w:themeShade="BF"/>
        <w:szCs w:val="22"/>
        <w:lang w:val="en-US"/>
      </w:rPr>
      <w:t>1</w:t>
    </w:r>
    <w:r w:rsidRPr="009E3E52">
      <w:rPr>
        <w:rFonts w:ascii="Arial" w:hAnsi="Arial" w:cs="Times New Roman"/>
        <w:b/>
        <w:color w:val="BFBFBF" w:themeColor="background1" w:themeShade="BF"/>
        <w:szCs w:val="22"/>
        <w:lang w:val="en-US"/>
      </w:rPr>
      <w:fldChar w:fldCharType="end"/>
    </w:r>
    <w:r w:rsidR="007F28E6">
      <w:rPr>
        <w:rFonts w:ascii="Arial" w:hAnsi="Arial" w:cs="Times New Roman"/>
        <w:b/>
        <w:color w:val="BFBFBF" w:themeColor="background1" w:themeShade="BF"/>
        <w:szCs w:val="22"/>
        <w:lang w:val="en-US"/>
      </w:rPr>
      <w:t xml:space="preserve">   </w:t>
    </w:r>
    <w:r w:rsidR="007F28E6">
      <w:rPr>
        <w:rFonts w:ascii="Arial" w:hAnsi="Arial" w:cs="Times New Roman"/>
        <w:b/>
        <w:color w:val="BFBFBF" w:themeColor="background1" w:themeShade="BF"/>
        <w:szCs w:val="22"/>
        <w:lang w:val="en-US"/>
      </w:rPr>
      <w:tab/>
    </w:r>
    <w:r w:rsidR="007F28E6">
      <w:rPr>
        <w:rFonts w:ascii="Arial" w:hAnsi="Arial" w:cs="Times New Roman"/>
        <w:b/>
        <w:color w:val="BFBFBF" w:themeColor="background1" w:themeShade="BF"/>
        <w:szCs w:val="22"/>
        <w:lang w:val="en-US"/>
      </w:rPr>
      <w:tab/>
    </w:r>
    <w:r w:rsidR="00E676BA">
      <w:rPr>
        <w:rFonts w:ascii="Arial" w:hAnsi="Arial" w:cs="Times New Roman"/>
        <w:b/>
        <w:color w:val="BFBFBF" w:themeColor="background1" w:themeShade="BF"/>
        <w:szCs w:val="22"/>
        <w:lang w:val="en-US"/>
      </w:rPr>
      <w:t>July 2020</w:t>
    </w:r>
  </w:p>
  <w:p w14:paraId="7387C255" w14:textId="77777777" w:rsidR="008B5701" w:rsidRDefault="008B5701" w:rsidP="007F28E6">
    <w:pPr>
      <w:pStyle w:val="Footer"/>
      <w:tabs>
        <w:tab w:val="clear" w:pos="8640"/>
        <w:tab w:val="right" w:pos="10490"/>
      </w:tabs>
      <w:ind w:left="1418"/>
      <w:rPr>
        <w:rFonts w:ascii="Arial" w:hAnsi="Arial" w:cs="Times New Roman"/>
        <w:b/>
        <w:color w:val="BFBFBF" w:themeColor="background1" w:themeShade="BF"/>
        <w:szCs w:val="22"/>
        <w:lang w:val="en-US"/>
      </w:rPr>
    </w:pPr>
  </w:p>
  <w:p w14:paraId="3A371F68" w14:textId="77777777" w:rsidR="008B5701" w:rsidRPr="00301A62" w:rsidRDefault="008B5701" w:rsidP="008B5701">
    <w:pPr>
      <w:widowControl w:val="0"/>
      <w:spacing w:line="220" w:lineRule="exact"/>
      <w:ind w:left="567" w:right="-852"/>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sidRPr="00E86432">
      <w:rPr>
        <w:rFonts w:ascii="Arial" w:eastAsia="Times New Roman" w:hAnsi="Arial" w:cs="Arial"/>
        <w:sz w:val="16"/>
        <w:szCs w:val="16"/>
      </w:rPr>
      <w:t>  Improvement and Development Agency for Local Government company number 03675577</w:t>
    </w:r>
  </w:p>
  <w:p w14:paraId="6FBC9B3D" w14:textId="77777777" w:rsidR="007D6682" w:rsidRDefault="007F28E6" w:rsidP="007F28E6">
    <w:pPr>
      <w:pStyle w:val="Footer"/>
      <w:tabs>
        <w:tab w:val="clear" w:pos="8640"/>
        <w:tab w:val="right" w:pos="10490"/>
      </w:tabs>
      <w:ind w:left="1418"/>
      <w:rPr>
        <w:rFonts w:ascii="Arial" w:hAnsi="Arial" w:cs="Times New Roman"/>
        <w:b/>
        <w:color w:val="BFBFBF" w:themeColor="background1" w:themeShade="BF"/>
        <w:szCs w:val="22"/>
        <w:lang w:val="en-US"/>
      </w:rPr>
    </w:pPr>
    <w:r>
      <w:rPr>
        <w:rFonts w:ascii="Arial" w:hAnsi="Arial" w:cs="Times New Roman"/>
        <w:b/>
        <w:color w:val="BFBFBF" w:themeColor="background1" w:themeShade="BF"/>
        <w:szCs w:val="22"/>
        <w:lang w:val="en-US"/>
      </w:rPr>
      <w:tab/>
    </w:r>
  </w:p>
  <w:p w14:paraId="319C77C9" w14:textId="77777777" w:rsidR="007D6682" w:rsidRPr="009E3E52" w:rsidRDefault="007D6682"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9B3B" w14:textId="77777777" w:rsidR="00F478A9" w:rsidRDefault="00F478A9" w:rsidP="007A3157">
      <w:r>
        <w:separator/>
      </w:r>
    </w:p>
  </w:footnote>
  <w:footnote w:type="continuationSeparator" w:id="0">
    <w:p w14:paraId="3F4D2AC7" w14:textId="77777777" w:rsidR="00F478A9" w:rsidRDefault="00F478A9" w:rsidP="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73075"/>
    <w:multiLevelType w:val="hybridMultilevel"/>
    <w:tmpl w:val="6A22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7316D"/>
    <w:multiLevelType w:val="hybridMultilevel"/>
    <w:tmpl w:val="B6E8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06596"/>
    <w:multiLevelType w:val="hybridMultilevel"/>
    <w:tmpl w:val="9FEA6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05690"/>
    <w:multiLevelType w:val="hybridMultilevel"/>
    <w:tmpl w:val="8C565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5D56DA"/>
    <w:multiLevelType w:val="hybridMultilevel"/>
    <w:tmpl w:val="621C5F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5052B"/>
    <w:multiLevelType w:val="hybridMultilevel"/>
    <w:tmpl w:val="02D40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128F0"/>
    <w:multiLevelType w:val="hybridMultilevel"/>
    <w:tmpl w:val="E834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04406"/>
    <w:multiLevelType w:val="hybridMultilevel"/>
    <w:tmpl w:val="30547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507DA3"/>
    <w:multiLevelType w:val="hybridMultilevel"/>
    <w:tmpl w:val="601C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E54F5"/>
    <w:multiLevelType w:val="hybridMultilevel"/>
    <w:tmpl w:val="B21EE0BE"/>
    <w:lvl w:ilvl="0" w:tplc="54A0DA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7C4A3C"/>
    <w:multiLevelType w:val="hybridMultilevel"/>
    <w:tmpl w:val="61E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533BF"/>
    <w:multiLevelType w:val="hybridMultilevel"/>
    <w:tmpl w:val="AF8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3FD2"/>
    <w:multiLevelType w:val="hybridMultilevel"/>
    <w:tmpl w:val="31E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707A1"/>
    <w:multiLevelType w:val="hybridMultilevel"/>
    <w:tmpl w:val="C97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19"/>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0"/>
  </w:num>
  <w:num w:numId="13">
    <w:abstractNumId w:val="0"/>
  </w:num>
  <w:num w:numId="14">
    <w:abstractNumId w:val="1"/>
  </w:num>
  <w:num w:numId="15">
    <w:abstractNumId w:val="2"/>
  </w:num>
  <w:num w:numId="16">
    <w:abstractNumId w:val="18"/>
  </w:num>
  <w:num w:numId="17">
    <w:abstractNumId w:val="11"/>
  </w:num>
  <w:num w:numId="18">
    <w:abstractNumId w:val="10"/>
  </w:num>
  <w:num w:numId="19">
    <w:abstractNumId w:val="14"/>
  </w:num>
  <w:num w:numId="20">
    <w:abstractNumId w:val="3"/>
  </w:num>
  <w:num w:numId="21">
    <w:abstractNumId w:val="3"/>
  </w:num>
  <w:num w:numId="22">
    <w:abstractNumId w:val="3"/>
  </w:num>
  <w:num w:numId="23">
    <w:abstractNumId w:val="15"/>
  </w:num>
  <w:num w:numId="24">
    <w:abstractNumId w:val="15"/>
  </w:num>
  <w:num w:numId="25">
    <w:abstractNumId w:val="9"/>
  </w:num>
  <w:num w:numId="26">
    <w:abstractNumId w:val="6"/>
  </w:num>
  <w:num w:numId="27">
    <w:abstractNumId w:val="26"/>
  </w:num>
  <w:num w:numId="28">
    <w:abstractNumId w:val="24"/>
  </w:num>
  <w:num w:numId="29">
    <w:abstractNumId w:val="23"/>
  </w:num>
  <w:num w:numId="30">
    <w:abstractNumId w:val="21"/>
  </w:num>
  <w:num w:numId="31">
    <w:abstractNumId w:val="7"/>
  </w:num>
  <w:num w:numId="32">
    <w:abstractNumId w:val="8"/>
  </w:num>
  <w:num w:numId="33">
    <w:abstractNumId w:val="5"/>
  </w:num>
  <w:num w:numId="34">
    <w:abstractNumId w:val="20"/>
  </w:num>
  <w:num w:numId="35">
    <w:abstractNumId w:val="17"/>
  </w:num>
  <w:num w:numId="36">
    <w:abstractNumId w:val="13"/>
  </w:num>
  <w:num w:numId="37">
    <w:abstractNumId w:val="12"/>
  </w:num>
  <w:num w:numId="38">
    <w:abstractNumId w:val="25"/>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BC"/>
    <w:rsid w:val="00023063"/>
    <w:rsid w:val="00112E9A"/>
    <w:rsid w:val="00153423"/>
    <w:rsid w:val="001879BE"/>
    <w:rsid w:val="00276663"/>
    <w:rsid w:val="00400A51"/>
    <w:rsid w:val="0041172E"/>
    <w:rsid w:val="00535D6E"/>
    <w:rsid w:val="005F35B6"/>
    <w:rsid w:val="00643FF4"/>
    <w:rsid w:val="0079440E"/>
    <w:rsid w:val="007A3157"/>
    <w:rsid w:val="007D6682"/>
    <w:rsid w:val="007F28E6"/>
    <w:rsid w:val="008B5701"/>
    <w:rsid w:val="008F608D"/>
    <w:rsid w:val="00905BB1"/>
    <w:rsid w:val="009A3E2A"/>
    <w:rsid w:val="009E3E52"/>
    <w:rsid w:val="009E6111"/>
    <w:rsid w:val="00A26BD5"/>
    <w:rsid w:val="00B223D9"/>
    <w:rsid w:val="00B632FD"/>
    <w:rsid w:val="00D91A5B"/>
    <w:rsid w:val="00DB5ED9"/>
    <w:rsid w:val="00E141F7"/>
    <w:rsid w:val="00E676BA"/>
    <w:rsid w:val="00F265BC"/>
    <w:rsid w:val="00F478A9"/>
    <w:rsid w:val="00F51DFD"/>
    <w:rsid w:val="00F54F92"/>
    <w:rsid w:val="00F86C57"/>
    <w:rsid w:val="00FB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16FAE"/>
  <w14:defaultImageDpi w14:val="300"/>
  <w15:docId w15:val="{9EB9D3BE-C62C-40B4-BA9D-B92A6460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9A3E2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7D6682"/>
    <w:rPr>
      <w:rFonts w:ascii="Arial" w:eastAsia="Times New Roman" w:hAnsi="Arial" w:cs="Times New Roman"/>
      <w:b/>
      <w:bCs/>
      <w:sz w:val="28"/>
      <w:szCs w:val="28"/>
      <w:lang w:val="x-none"/>
    </w:rPr>
  </w:style>
  <w:style w:type="character" w:customStyle="1" w:styleId="Heading1Char">
    <w:name w:val="Heading 1 Char"/>
    <w:basedOn w:val="DefaultParagraphFont"/>
    <w:link w:val="Heading1"/>
    <w:uiPriority w:val="9"/>
    <w:rsid w:val="009A3E2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3E2A"/>
    <w:rPr>
      <w:color w:val="0000FF"/>
      <w:u w:val="single"/>
    </w:rPr>
  </w:style>
  <w:style w:type="character" w:styleId="CommentReference">
    <w:name w:val="annotation reference"/>
    <w:basedOn w:val="DefaultParagraphFont"/>
    <w:uiPriority w:val="99"/>
    <w:semiHidden/>
    <w:unhideWhenUsed/>
    <w:rsid w:val="00E676BA"/>
    <w:rPr>
      <w:sz w:val="16"/>
      <w:szCs w:val="16"/>
    </w:rPr>
  </w:style>
  <w:style w:type="paragraph" w:styleId="CommentText">
    <w:name w:val="annotation text"/>
    <w:basedOn w:val="Normal"/>
    <w:link w:val="CommentTextChar"/>
    <w:uiPriority w:val="99"/>
    <w:semiHidden/>
    <w:unhideWhenUsed/>
    <w:rsid w:val="00E676BA"/>
    <w:rPr>
      <w:sz w:val="20"/>
      <w:szCs w:val="20"/>
    </w:rPr>
  </w:style>
  <w:style w:type="character" w:customStyle="1" w:styleId="CommentTextChar">
    <w:name w:val="Comment Text Char"/>
    <w:basedOn w:val="DefaultParagraphFont"/>
    <w:link w:val="CommentText"/>
    <w:uiPriority w:val="99"/>
    <w:semiHidden/>
    <w:rsid w:val="00E676BA"/>
    <w:rPr>
      <w:sz w:val="20"/>
      <w:szCs w:val="20"/>
    </w:rPr>
  </w:style>
  <w:style w:type="paragraph" w:styleId="CommentSubject">
    <w:name w:val="annotation subject"/>
    <w:basedOn w:val="CommentText"/>
    <w:next w:val="CommentText"/>
    <w:link w:val="CommentSubjectChar"/>
    <w:uiPriority w:val="99"/>
    <w:semiHidden/>
    <w:unhideWhenUsed/>
    <w:rsid w:val="00E676BA"/>
    <w:rPr>
      <w:b/>
      <w:bCs/>
    </w:rPr>
  </w:style>
  <w:style w:type="character" w:customStyle="1" w:styleId="CommentSubjectChar">
    <w:name w:val="Comment Subject Char"/>
    <w:basedOn w:val="CommentTextChar"/>
    <w:link w:val="CommentSubject"/>
    <w:uiPriority w:val="99"/>
    <w:semiHidden/>
    <w:rsid w:val="00E67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368">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workforce-and-hr-support/equality-diversity-and-inclusion" TargetMode="External"/><Relationship Id="rId18" Type="http://schemas.openxmlformats.org/officeDocument/2006/relationships/hyperlink" Target="https://www.personneltoday.com/hr/dont-wait-for-legislation-ethnicity-pay-gap-reporting/" TargetMode="External"/><Relationship Id="rId26" Type="http://schemas.openxmlformats.org/officeDocument/2006/relationships/hyperlink" Target="https://www.personneltoday.com/hr/dont-wait-for-legislation-ethnicity-pay-gap-reporting/" TargetMode="External"/><Relationship Id="rId3" Type="http://schemas.openxmlformats.org/officeDocument/2006/relationships/customXml" Target="../customXml/item3.xml"/><Relationship Id="rId21" Type="http://schemas.openxmlformats.org/officeDocument/2006/relationships/hyperlink" Target="https://www.local.gov.uk/our-support/workforce-and-hr-support/equality-diversity-and-inclusion" TargetMode="External"/><Relationship Id="rId7" Type="http://schemas.openxmlformats.org/officeDocument/2006/relationships/settings" Target="settings.xml"/><Relationship Id="rId12" Type="http://schemas.openxmlformats.org/officeDocument/2006/relationships/hyperlink" Target="https://www.local.gov.uk/our-support/workforce-and-hr-support/equality-diversity-and-inclusion" TargetMode="External"/><Relationship Id="rId17" Type="http://schemas.openxmlformats.org/officeDocument/2006/relationships/hyperlink" Target="https://www.local.gov.uk/sites/default/files/documents/Sandra%20Kerr%20WEB.pdf" TargetMode="External"/><Relationship Id="rId25" Type="http://schemas.openxmlformats.org/officeDocument/2006/relationships/hyperlink" Target="https://www.local.gov.uk/sites/default/files/documents/Sandra%20Kerr%20WEB.pdf" TargetMode="External"/><Relationship Id="rId2" Type="http://schemas.openxmlformats.org/officeDocument/2006/relationships/customXml" Target="../customXml/item2.xml"/><Relationship Id="rId16" Type="http://schemas.openxmlformats.org/officeDocument/2006/relationships/hyperlink" Target="https://www.bitc.org.uk/post_tag/race-at-work-charter/" TargetMode="External"/><Relationship Id="rId20" Type="http://schemas.openxmlformats.org/officeDocument/2006/relationships/hyperlink" Target="https://www.local.gov.uk/our-support/workforce-and-hr-support/equality-diversity-and-inclus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itc.org.uk/post_tag/race-at-work-charter/" TargetMode="External"/><Relationship Id="rId5" Type="http://schemas.openxmlformats.org/officeDocument/2006/relationships/numbering" Target="numbering.xml"/><Relationship Id="rId15" Type="http://schemas.openxmlformats.org/officeDocument/2006/relationships/hyperlink" Target="https://www.local.gov.uk/our-support/coronavirus-information-councils/covid-19-support-your-role/covid-19-workforce" TargetMode="External"/><Relationship Id="rId23" Type="http://schemas.openxmlformats.org/officeDocument/2006/relationships/hyperlink" Target="https://www.local.gov.uk/our-support/coronavirus-information-councils/covid-19-support-your-role/covid-19-workfor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race-in-the-workplace-the-mcgregor-smith-re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guidance-and-resources/equality-frameworks/equality-framework-local-government" TargetMode="External"/><Relationship Id="rId22" Type="http://schemas.openxmlformats.org/officeDocument/2006/relationships/hyperlink" Target="https://www.local.gov.uk/our-support/guidance-and-resources/equality-frameworks/equality-framework-local-government" TargetMode="External"/><Relationship Id="rId27" Type="http://schemas.openxmlformats.org/officeDocument/2006/relationships/hyperlink" Target="https://www.gov.uk/government/publications/race-in-the-workplace-the-mcgregor-smith-review"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rd\Documents\LGA%20Workforce%20equality%20project%20pl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60DE834993F418A6438EC3B876C83" ma:contentTypeVersion="12" ma:contentTypeDescription="Create a new document." ma:contentTypeScope="" ma:versionID="fd797355fff8c67301cdd83b7c626bf0">
  <xsd:schema xmlns:xsd="http://www.w3.org/2001/XMLSchema" xmlns:xs="http://www.w3.org/2001/XMLSchema" xmlns:p="http://schemas.microsoft.com/office/2006/metadata/properties" xmlns:ns2="e185b541-f362-4695-8583-3c034be5d791" xmlns:ns3="c7c11347-d687-45c9-832b-7b252a0fc4a6" targetNamespace="http://schemas.microsoft.com/office/2006/metadata/properties" ma:root="true" ma:fieldsID="2bff43ce1804f397a34470667375ad8e" ns2:_="" ns3:_="">
    <xsd:import namespace="e185b541-f362-4695-8583-3c034be5d791"/>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5b541-f362-4695-8583-3c034be5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CACB-DDD7-49E7-86E2-51D6BF168983}">
  <ds:schemaRefs>
    <ds:schemaRef ds:uri="http://schemas.microsoft.com/sharepoint/v3/contenttype/forms"/>
  </ds:schemaRefs>
</ds:datastoreItem>
</file>

<file path=customXml/itemProps2.xml><?xml version="1.0" encoding="utf-8"?>
<ds:datastoreItem xmlns:ds="http://schemas.openxmlformats.org/officeDocument/2006/customXml" ds:itemID="{CF874E95-9FDD-4EFD-B416-99E41420F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5b541-f362-4695-8583-3c034be5d791"/>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8A203-E915-4D6B-B8F9-704B6C1257E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c11347-d687-45c9-832b-7b252a0fc4a6"/>
    <ds:schemaRef ds:uri="http://purl.org/dc/elements/1.1/"/>
    <ds:schemaRef ds:uri="e185b541-f362-4695-8583-3c034be5d791"/>
    <ds:schemaRef ds:uri="http://www.w3.org/XML/1998/namespace"/>
    <ds:schemaRef ds:uri="http://purl.org/dc/dcmitype/"/>
  </ds:schemaRefs>
</ds:datastoreItem>
</file>

<file path=customXml/itemProps4.xml><?xml version="1.0" encoding="utf-8"?>
<ds:datastoreItem xmlns:ds="http://schemas.openxmlformats.org/officeDocument/2006/customXml" ds:itemID="{FE1D6850-B1FD-4A16-A7D6-EECF38DD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 Workforce equality project plan 2020</Template>
  <TotalTime>0</TotalTime>
  <Pages>3</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Report - LGA</vt:lpstr>
    </vt:vector>
  </TitlesOfParts>
  <Company>LGA</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LGA</dc:title>
  <dc:subject/>
  <dc:creator>Sarah Ward</dc:creator>
  <cp:keywords/>
  <dc:description/>
  <cp:lastModifiedBy>Sarah Ward</cp:lastModifiedBy>
  <cp:revision>2</cp:revision>
  <dcterms:created xsi:type="dcterms:W3CDTF">2020-07-10T12:47:00Z</dcterms:created>
  <dcterms:modified xsi:type="dcterms:W3CDTF">2020-07-10T12:47:00Z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0x010100A2A60DE834993F418A6438EC3B876C83</vt:lpwstr>
  </property>
</Properties>
</file>